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2DB" w:rsidRPr="00966787" w:rsidRDefault="007732DB" w:rsidP="007732DB">
      <w:pPr>
        <w:jc w:val="right"/>
        <w:rPr>
          <w:sz w:val="28"/>
          <w:szCs w:val="28"/>
        </w:rPr>
      </w:pPr>
      <w:bookmarkStart w:id="0" w:name="_GoBack"/>
      <w:bookmarkEnd w:id="0"/>
      <w:proofErr w:type="gramStart"/>
      <w:r>
        <w:rPr>
          <w:sz w:val="28"/>
          <w:szCs w:val="28"/>
        </w:rPr>
        <w:t>Утвержден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8559BA">
        <w:rPr>
          <w:sz w:val="28"/>
          <w:szCs w:val="28"/>
        </w:rPr>
        <w:t xml:space="preserve">приказом </w:t>
      </w:r>
      <w:r w:rsidR="00821674">
        <w:rPr>
          <w:sz w:val="28"/>
          <w:szCs w:val="28"/>
        </w:rPr>
        <w:t>УРКС ВО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5C0420">
        <w:rPr>
          <w:sz w:val="28"/>
          <w:szCs w:val="28"/>
        </w:rPr>
        <w:t>от</w:t>
      </w:r>
      <w:r w:rsidRPr="008D056A">
        <w:rPr>
          <w:sz w:val="28"/>
          <w:szCs w:val="28"/>
        </w:rPr>
        <w:t xml:space="preserve"> </w:t>
      </w:r>
      <w:r w:rsidR="008559BA">
        <w:rPr>
          <w:sz w:val="28"/>
          <w:szCs w:val="28"/>
        </w:rPr>
        <w:t xml:space="preserve">09.11.2017 </w:t>
      </w:r>
      <w:r>
        <w:rPr>
          <w:sz w:val="28"/>
          <w:szCs w:val="28"/>
        </w:rPr>
        <w:t>№</w:t>
      </w:r>
      <w:r w:rsidR="008559BA">
        <w:rPr>
          <w:sz w:val="28"/>
          <w:szCs w:val="28"/>
        </w:rPr>
        <w:t> 4</w:t>
      </w:r>
      <w:r w:rsidR="008B25CA">
        <w:rPr>
          <w:sz w:val="28"/>
          <w:szCs w:val="28"/>
        </w:rPr>
        <w:t>6</w:t>
      </w:r>
      <w:r w:rsidR="008559BA">
        <w:rPr>
          <w:sz w:val="28"/>
          <w:szCs w:val="28"/>
        </w:rPr>
        <w:t>65 «о»</w:t>
      </w:r>
    </w:p>
    <w:p w:rsidR="007732DB" w:rsidRPr="0003697E" w:rsidRDefault="007732DB" w:rsidP="007732DB">
      <w:pPr>
        <w:jc w:val="right"/>
        <w:rPr>
          <w:sz w:val="28"/>
          <w:szCs w:val="28"/>
        </w:rPr>
      </w:pPr>
    </w:p>
    <w:p w:rsidR="007732DB" w:rsidRDefault="007732DB" w:rsidP="007732DB">
      <w:pPr>
        <w:jc w:val="right"/>
        <w:rPr>
          <w:sz w:val="28"/>
          <w:szCs w:val="28"/>
        </w:rPr>
      </w:pPr>
    </w:p>
    <w:p w:rsidR="007732DB" w:rsidRPr="008D056A" w:rsidRDefault="007732DB" w:rsidP="007732DB">
      <w:pPr>
        <w:jc w:val="right"/>
        <w:rPr>
          <w:sz w:val="28"/>
          <w:szCs w:val="28"/>
        </w:rPr>
      </w:pPr>
    </w:p>
    <w:p w:rsidR="007732DB" w:rsidRDefault="007732DB" w:rsidP="007732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" w:name="Par29"/>
      <w:bookmarkEnd w:id="1"/>
      <w:r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br/>
      </w:r>
      <w:proofErr w:type="gramStart"/>
      <w:r w:rsidR="00106E1D">
        <w:rPr>
          <w:b/>
          <w:sz w:val="28"/>
          <w:szCs w:val="28"/>
        </w:rPr>
        <w:t xml:space="preserve">ФОРМИРОВАНИЯ РЕЙТИНГОВОЙ ОЦЕНКИ </w:t>
      </w:r>
      <w:r w:rsidR="00106E1D">
        <w:rPr>
          <w:b/>
          <w:sz w:val="28"/>
          <w:szCs w:val="28"/>
        </w:rPr>
        <w:br/>
        <w:t xml:space="preserve">ЭФФЕКТИВНОСТИ ЗАКУПОЧНОЙ ДЕЯТЕЛЬНОСТИ </w:t>
      </w:r>
      <w:r w:rsidR="00106E1D">
        <w:rPr>
          <w:b/>
          <w:sz w:val="28"/>
          <w:szCs w:val="28"/>
        </w:rPr>
        <w:br/>
        <w:t>ГОСУДАРСТВЕННЫХ ЗАКАЗЧИКОВ</w:t>
      </w:r>
      <w:r w:rsidRPr="00C53045">
        <w:rPr>
          <w:b/>
          <w:sz w:val="28"/>
          <w:szCs w:val="28"/>
        </w:rPr>
        <w:t xml:space="preserve"> ВОРОНЕЖСКОЙ ОБЛАСТИ</w:t>
      </w:r>
      <w:proofErr w:type="gramEnd"/>
    </w:p>
    <w:p w:rsidR="007732DB" w:rsidRPr="00C31ECA" w:rsidRDefault="007732DB" w:rsidP="007732DB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32DB" w:rsidRPr="007F217D" w:rsidRDefault="007732DB" w:rsidP="007732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5"/>
      <w:bookmarkEnd w:id="2"/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7F217D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7F217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7F217D">
        <w:rPr>
          <w:rFonts w:ascii="Times New Roman" w:hAnsi="Times New Roman" w:cs="Times New Roman"/>
          <w:sz w:val="28"/>
          <w:szCs w:val="28"/>
        </w:rPr>
        <w:t xml:space="preserve"> </w:t>
      </w:r>
      <w:r w:rsidR="00070782" w:rsidRPr="00070782">
        <w:rPr>
          <w:rFonts w:ascii="Times New Roman" w:hAnsi="Times New Roman" w:cs="Times New Roman"/>
          <w:sz w:val="28"/>
          <w:szCs w:val="28"/>
        </w:rPr>
        <w:t xml:space="preserve">формирования рейтинговой оценки эффективности закупочной деятельности государственных заказчиков Воронежской области </w:t>
      </w:r>
      <w:r>
        <w:rPr>
          <w:rFonts w:ascii="Times New Roman" w:hAnsi="Times New Roman" w:cs="Times New Roman"/>
          <w:sz w:val="28"/>
          <w:szCs w:val="28"/>
        </w:rPr>
        <w:t>(далее – Порядок) устанавливае</w:t>
      </w:r>
      <w:r w:rsidRPr="007F217D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правила</w:t>
      </w:r>
      <w:r w:rsidRPr="007F217D">
        <w:rPr>
          <w:rFonts w:ascii="Times New Roman" w:hAnsi="Times New Roman" w:cs="Times New Roman"/>
          <w:sz w:val="28"/>
          <w:szCs w:val="28"/>
        </w:rPr>
        <w:t xml:space="preserve"> </w:t>
      </w:r>
      <w:r w:rsidR="00070782" w:rsidRPr="00070782">
        <w:rPr>
          <w:rFonts w:ascii="Times New Roman" w:hAnsi="Times New Roman" w:cs="Times New Roman"/>
          <w:sz w:val="28"/>
          <w:szCs w:val="28"/>
        </w:rPr>
        <w:t>формирования рейтинговой оценки эффективности закупочной деятельности государственных заказчиков Воронежской области</w:t>
      </w:r>
      <w:r w:rsidR="00070782">
        <w:rPr>
          <w:rFonts w:ascii="Times New Roman" w:hAnsi="Times New Roman" w:cs="Times New Roman"/>
          <w:sz w:val="28"/>
          <w:szCs w:val="28"/>
        </w:rPr>
        <w:t xml:space="preserve"> (далее – формирование рейтинговой оценки)</w:t>
      </w:r>
      <w:r w:rsidRPr="007F217D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05.04.2013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F217D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</w:t>
      </w:r>
      <w:r>
        <w:rPr>
          <w:rFonts w:ascii="Times New Roman" w:hAnsi="Times New Roman" w:cs="Times New Roman"/>
          <w:sz w:val="28"/>
          <w:szCs w:val="28"/>
        </w:rPr>
        <w:t>х и муниципальных нужд» (далее –</w:t>
      </w:r>
      <w:r w:rsidRPr="007F217D">
        <w:rPr>
          <w:rFonts w:ascii="Times New Roman" w:hAnsi="Times New Roman" w:cs="Times New Roman"/>
          <w:sz w:val="28"/>
          <w:szCs w:val="28"/>
        </w:rPr>
        <w:t xml:space="preserve"> Федеральный закон</w:t>
      </w:r>
      <w:r>
        <w:rPr>
          <w:rFonts w:ascii="Times New Roman" w:hAnsi="Times New Roman" w:cs="Times New Roman"/>
          <w:sz w:val="28"/>
          <w:szCs w:val="28"/>
        </w:rPr>
        <w:t xml:space="preserve"> №44-ФЗ</w:t>
      </w:r>
      <w:r w:rsidRPr="007F217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7732DB" w:rsidRPr="007F217D" w:rsidRDefault="00106E1D" w:rsidP="007732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32DB">
        <w:rPr>
          <w:sz w:val="28"/>
          <w:szCs w:val="28"/>
        </w:rPr>
        <w:t xml:space="preserve">. Управление </w:t>
      </w:r>
      <w:r w:rsidR="007732DB" w:rsidRPr="007F217D">
        <w:rPr>
          <w:sz w:val="28"/>
          <w:szCs w:val="28"/>
        </w:rPr>
        <w:t>осуществляет</w:t>
      </w:r>
      <w:r w:rsidR="007732DB">
        <w:rPr>
          <w:sz w:val="28"/>
          <w:szCs w:val="28"/>
        </w:rPr>
        <w:t xml:space="preserve"> </w:t>
      </w:r>
      <w:r w:rsidR="00070782">
        <w:rPr>
          <w:sz w:val="28"/>
          <w:szCs w:val="28"/>
        </w:rPr>
        <w:t>формирование рейтинговой оценки</w:t>
      </w:r>
      <w:r w:rsidR="00070782" w:rsidRPr="007F217D">
        <w:rPr>
          <w:sz w:val="28"/>
          <w:szCs w:val="28"/>
        </w:rPr>
        <w:t xml:space="preserve"> </w:t>
      </w:r>
      <w:r w:rsidR="007732DB" w:rsidRPr="007F217D">
        <w:rPr>
          <w:sz w:val="28"/>
          <w:szCs w:val="28"/>
        </w:rPr>
        <w:t>посредством сбора, обобщения, систематизации и оценки информации</w:t>
      </w:r>
      <w:r w:rsidR="007732DB">
        <w:rPr>
          <w:sz w:val="28"/>
          <w:szCs w:val="28"/>
        </w:rPr>
        <w:t xml:space="preserve"> содержащейся</w:t>
      </w:r>
      <w:r w:rsidR="007732DB" w:rsidRPr="007F217D">
        <w:rPr>
          <w:sz w:val="28"/>
          <w:szCs w:val="28"/>
        </w:rPr>
        <w:t>:</w:t>
      </w:r>
    </w:p>
    <w:p w:rsidR="007732DB" w:rsidRPr="007F217D" w:rsidRDefault="007732DB" w:rsidP="007732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7F217D">
        <w:rPr>
          <w:sz w:val="28"/>
          <w:szCs w:val="28"/>
        </w:rPr>
        <w:t>в единой информационной системе в сфере закупок</w:t>
      </w:r>
      <w:r>
        <w:rPr>
          <w:sz w:val="28"/>
          <w:szCs w:val="28"/>
        </w:rPr>
        <w:t xml:space="preserve"> (далее – ЕИС), на электронных площадках, функционирование которых осуществляется в соответствии с действующим законодательством, в региональной информационной системе в сфере закупок Воронежской области (далее – РИС)</w:t>
      </w:r>
      <w:r w:rsidRPr="007F217D">
        <w:rPr>
          <w:sz w:val="28"/>
          <w:szCs w:val="28"/>
        </w:rPr>
        <w:t>;</w:t>
      </w:r>
    </w:p>
    <w:p w:rsidR="007732DB" w:rsidRPr="00341B8D" w:rsidRDefault="007732DB" w:rsidP="007732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 w:rsidRPr="00341B8D">
        <w:rPr>
          <w:sz w:val="28"/>
          <w:szCs w:val="28"/>
        </w:rPr>
        <w:t>в письмах и обращениях, поступающих в Управление, от государственных заказчиков Воронежской области, бюджетных учреждений Воронежской области и государственных унитарных предприятий</w:t>
      </w:r>
      <w:r>
        <w:rPr>
          <w:sz w:val="28"/>
          <w:szCs w:val="28"/>
        </w:rPr>
        <w:t xml:space="preserve"> Воронежской области (далее –</w:t>
      </w:r>
      <w:r w:rsidRPr="00341B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государственные </w:t>
      </w:r>
      <w:r w:rsidRPr="00341B8D">
        <w:rPr>
          <w:sz w:val="28"/>
          <w:szCs w:val="28"/>
        </w:rPr>
        <w:t xml:space="preserve">заказчики), организаций, в том числе общественных объединений, объединений юридических лиц, </w:t>
      </w:r>
      <w:r w:rsidRPr="00341B8D">
        <w:rPr>
          <w:sz w:val="28"/>
          <w:szCs w:val="28"/>
        </w:rPr>
        <w:lastRenderedPageBreak/>
        <w:t>граждан, включая результаты общественного контроля за соблюдением требований законодательства Российской Федерации и иных нормативных правовых актов о контрактной системе в сфере закупок товаров, работ, услуг для</w:t>
      </w:r>
      <w:proofErr w:type="gramEnd"/>
      <w:r w:rsidRPr="00341B8D">
        <w:rPr>
          <w:sz w:val="28"/>
          <w:szCs w:val="28"/>
        </w:rPr>
        <w:t xml:space="preserve"> обеспечения государственных и муниципальных нужд;</w:t>
      </w:r>
    </w:p>
    <w:p w:rsidR="007732DB" w:rsidRPr="00341B8D" w:rsidRDefault="007732DB" w:rsidP="007732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41B8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341B8D">
        <w:rPr>
          <w:sz w:val="28"/>
          <w:szCs w:val="28"/>
        </w:rPr>
        <w:t>во вступивших в законную силу судебных актах, касающихся вопросов осуществления закупок;</w:t>
      </w:r>
    </w:p>
    <w:p w:rsidR="007732DB" w:rsidRDefault="007732DB" w:rsidP="007732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7F217D">
        <w:rPr>
          <w:sz w:val="28"/>
          <w:szCs w:val="28"/>
        </w:rPr>
        <w:t>в иных открытых источниках.</w:t>
      </w:r>
    </w:p>
    <w:p w:rsidR="007732DB" w:rsidRPr="007F6FF8" w:rsidRDefault="00106E1D" w:rsidP="007732DB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732DB">
        <w:rPr>
          <w:rFonts w:ascii="Times New Roman" w:hAnsi="Times New Roman"/>
          <w:sz w:val="28"/>
          <w:szCs w:val="28"/>
        </w:rPr>
        <w:t>.</w:t>
      </w:r>
      <w:bookmarkStart w:id="3" w:name="P46"/>
      <w:bookmarkEnd w:id="3"/>
      <w:r w:rsidR="007732DB">
        <w:rPr>
          <w:rFonts w:ascii="Times New Roman" w:hAnsi="Times New Roman"/>
          <w:sz w:val="28"/>
          <w:szCs w:val="28"/>
        </w:rPr>
        <w:t> </w:t>
      </w:r>
      <w:proofErr w:type="gramStart"/>
      <w:r w:rsidR="007732DB" w:rsidRPr="007F6FF8">
        <w:rPr>
          <w:rFonts w:ascii="Times New Roman" w:hAnsi="Times New Roman"/>
          <w:sz w:val="28"/>
          <w:szCs w:val="28"/>
        </w:rPr>
        <w:t>При</w:t>
      </w:r>
      <w:proofErr w:type="gramEnd"/>
      <w:r w:rsidR="007732DB" w:rsidRPr="007F6FF8">
        <w:rPr>
          <w:rFonts w:ascii="Times New Roman" w:hAnsi="Times New Roman"/>
          <w:sz w:val="28"/>
          <w:szCs w:val="28"/>
        </w:rPr>
        <w:t xml:space="preserve"> </w:t>
      </w:r>
      <w:r w:rsidR="00070782">
        <w:rPr>
          <w:rFonts w:ascii="Times New Roman" w:hAnsi="Times New Roman" w:cs="Times New Roman"/>
          <w:sz w:val="28"/>
          <w:szCs w:val="28"/>
        </w:rPr>
        <w:t>формирование рейтинговой оценки</w:t>
      </w:r>
      <w:r w:rsidR="00070782" w:rsidRPr="007F6FF8">
        <w:rPr>
          <w:rFonts w:ascii="Times New Roman" w:hAnsi="Times New Roman"/>
          <w:sz w:val="28"/>
          <w:szCs w:val="28"/>
        </w:rPr>
        <w:t xml:space="preserve"> </w:t>
      </w:r>
      <w:r w:rsidR="007732DB" w:rsidRPr="007F6FF8">
        <w:rPr>
          <w:rFonts w:ascii="Times New Roman" w:hAnsi="Times New Roman"/>
          <w:sz w:val="28"/>
          <w:szCs w:val="28"/>
        </w:rPr>
        <w:t xml:space="preserve">проводится </w:t>
      </w:r>
      <w:r>
        <w:rPr>
          <w:rFonts w:ascii="Times New Roman" w:hAnsi="Times New Roman"/>
          <w:sz w:val="28"/>
          <w:szCs w:val="28"/>
        </w:rPr>
        <w:t>оценка</w:t>
      </w:r>
      <w:r w:rsidR="007732DB" w:rsidRPr="007F6FF8">
        <w:rPr>
          <w:rFonts w:ascii="Times New Roman" w:hAnsi="Times New Roman"/>
          <w:sz w:val="28"/>
          <w:szCs w:val="28"/>
        </w:rPr>
        <w:t>:</w:t>
      </w:r>
    </w:p>
    <w:p w:rsidR="007732DB" w:rsidRPr="007F217D" w:rsidRDefault="007732DB" w:rsidP="007732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F217D">
        <w:rPr>
          <w:rFonts w:ascii="Times New Roman" w:hAnsi="Times New Roman" w:cs="Times New Roman"/>
          <w:sz w:val="28"/>
          <w:szCs w:val="28"/>
        </w:rPr>
        <w:t>эффективност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F217D">
        <w:rPr>
          <w:rFonts w:ascii="Times New Roman" w:hAnsi="Times New Roman" w:cs="Times New Roman"/>
          <w:sz w:val="28"/>
          <w:szCs w:val="28"/>
        </w:rPr>
        <w:t xml:space="preserve"> планирования закупок;</w:t>
      </w:r>
    </w:p>
    <w:p w:rsidR="007732DB" w:rsidRPr="007F217D" w:rsidRDefault="007732DB" w:rsidP="007732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F217D">
        <w:rPr>
          <w:rFonts w:ascii="Times New Roman" w:hAnsi="Times New Roman" w:cs="Times New Roman"/>
          <w:sz w:val="28"/>
          <w:szCs w:val="28"/>
        </w:rPr>
        <w:t>эффективност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F217D">
        <w:rPr>
          <w:rFonts w:ascii="Times New Roman" w:hAnsi="Times New Roman" w:cs="Times New Roman"/>
          <w:sz w:val="28"/>
          <w:szCs w:val="28"/>
        </w:rPr>
        <w:t xml:space="preserve"> определения поставщиков (подрядчиков, исполнителей);</w:t>
      </w:r>
    </w:p>
    <w:p w:rsidR="007732DB" w:rsidRPr="007F217D" w:rsidRDefault="007732DB" w:rsidP="007732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F217D">
        <w:rPr>
          <w:rFonts w:ascii="Times New Roman" w:hAnsi="Times New Roman" w:cs="Times New Roman"/>
          <w:sz w:val="28"/>
          <w:szCs w:val="28"/>
        </w:rPr>
        <w:t>эффективност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F217D">
        <w:rPr>
          <w:rFonts w:ascii="Times New Roman" w:hAnsi="Times New Roman" w:cs="Times New Roman"/>
          <w:sz w:val="28"/>
          <w:szCs w:val="28"/>
        </w:rPr>
        <w:t xml:space="preserve"> исполнения контрактов;</w:t>
      </w:r>
    </w:p>
    <w:p w:rsidR="007732DB" w:rsidRPr="007F217D" w:rsidRDefault="007732DB" w:rsidP="007732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F217D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217D">
        <w:rPr>
          <w:rFonts w:ascii="Times New Roman" w:hAnsi="Times New Roman" w:cs="Times New Roman"/>
          <w:sz w:val="28"/>
          <w:szCs w:val="28"/>
        </w:rPr>
        <w:t xml:space="preserve"> требований законодательства о закупках.</w:t>
      </w:r>
    </w:p>
    <w:p w:rsidR="007732DB" w:rsidRPr="00E4130B" w:rsidRDefault="007732DB" w:rsidP="007732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07078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ейтинговая </w:t>
      </w:r>
      <w:r w:rsidRPr="007F217D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F217D">
        <w:rPr>
          <w:rFonts w:ascii="Times New Roman" w:hAnsi="Times New Roman" w:cs="Times New Roman"/>
          <w:sz w:val="28"/>
          <w:szCs w:val="28"/>
        </w:rPr>
        <w:t xml:space="preserve"> эффективности закупо</w:t>
      </w:r>
      <w:r>
        <w:rPr>
          <w:rFonts w:ascii="Times New Roman" w:hAnsi="Times New Roman" w:cs="Times New Roman"/>
          <w:sz w:val="28"/>
          <w:szCs w:val="28"/>
        </w:rPr>
        <w:t>чной деятельности государственных заказчиков Воронежской области (далее –</w:t>
      </w:r>
      <w:r w:rsidRPr="007F217D">
        <w:rPr>
          <w:rFonts w:ascii="Times New Roman" w:hAnsi="Times New Roman" w:cs="Times New Roman"/>
          <w:sz w:val="28"/>
          <w:szCs w:val="28"/>
        </w:rPr>
        <w:t xml:space="preserve"> оценка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Pr="00E4130B">
        <w:rPr>
          <w:rFonts w:ascii="Times New Roman" w:hAnsi="Times New Roman" w:cs="Times New Roman"/>
          <w:sz w:val="28"/>
          <w:szCs w:val="28"/>
        </w:rPr>
        <w:t xml:space="preserve">закупочной деятельности) </w:t>
      </w:r>
      <w:r w:rsidR="00070782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Pr="00E4130B">
        <w:rPr>
          <w:rFonts w:ascii="Times New Roman" w:hAnsi="Times New Roman" w:cs="Times New Roman"/>
          <w:sz w:val="28"/>
          <w:szCs w:val="28"/>
        </w:rPr>
        <w:t xml:space="preserve">в соответствии с методикой </w:t>
      </w:r>
      <w:proofErr w:type="gramStart"/>
      <w:r w:rsidRPr="00E4130B">
        <w:rPr>
          <w:rFonts w:ascii="Times New Roman" w:hAnsi="Times New Roman" w:cs="Times New Roman"/>
          <w:sz w:val="28"/>
          <w:szCs w:val="28"/>
        </w:rPr>
        <w:t>формирования рейтинговой оценки эффективности закупочной деятельности государственных заказчиков</w:t>
      </w:r>
      <w:proofErr w:type="gramEnd"/>
      <w:r w:rsidRPr="00E4130B">
        <w:rPr>
          <w:rFonts w:ascii="Times New Roman" w:hAnsi="Times New Roman" w:cs="Times New Roman"/>
          <w:sz w:val="28"/>
          <w:szCs w:val="28"/>
        </w:rPr>
        <w:t xml:space="preserve"> Воронежской области (далее – Методика).</w:t>
      </w:r>
    </w:p>
    <w:p w:rsidR="007732DB" w:rsidRPr="00E4130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 w:rsidRPr="00E4130B">
        <w:rPr>
          <w:sz w:val="28"/>
          <w:szCs w:val="28"/>
        </w:rPr>
        <w:t>6. </w:t>
      </w:r>
      <w:r w:rsidR="00070782">
        <w:rPr>
          <w:sz w:val="28"/>
          <w:szCs w:val="28"/>
        </w:rPr>
        <w:t>Ф</w:t>
      </w:r>
      <w:r w:rsidR="00070782" w:rsidRPr="00070782">
        <w:rPr>
          <w:sz w:val="28"/>
          <w:szCs w:val="28"/>
        </w:rPr>
        <w:t xml:space="preserve">ормирование рейтинговой оценки </w:t>
      </w:r>
      <w:r w:rsidRPr="00E4130B">
        <w:rPr>
          <w:sz w:val="28"/>
          <w:szCs w:val="28"/>
        </w:rPr>
        <w:t>осуществляется ежеквартально.</w:t>
      </w:r>
    </w:p>
    <w:p w:rsidR="007732DB" w:rsidRPr="00E4130B" w:rsidRDefault="007732DB" w:rsidP="007732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0B">
        <w:rPr>
          <w:rFonts w:ascii="Times New Roman" w:hAnsi="Times New Roman" w:cs="Times New Roman"/>
          <w:sz w:val="28"/>
          <w:szCs w:val="28"/>
        </w:rPr>
        <w:t xml:space="preserve">7. Данные, необходимые для </w:t>
      </w:r>
      <w:r w:rsidR="00070782">
        <w:rPr>
          <w:rFonts w:ascii="Times New Roman" w:hAnsi="Times New Roman" w:cs="Times New Roman"/>
          <w:sz w:val="28"/>
          <w:szCs w:val="28"/>
        </w:rPr>
        <w:t>ф</w:t>
      </w:r>
      <w:r w:rsidR="00070782" w:rsidRPr="00070782">
        <w:rPr>
          <w:rFonts w:ascii="Times New Roman" w:hAnsi="Times New Roman" w:cs="Times New Roman"/>
          <w:sz w:val="28"/>
          <w:szCs w:val="28"/>
        </w:rPr>
        <w:t>ормировани</w:t>
      </w:r>
      <w:r w:rsidR="00070782">
        <w:rPr>
          <w:rFonts w:ascii="Times New Roman" w:hAnsi="Times New Roman" w:cs="Times New Roman"/>
          <w:sz w:val="28"/>
          <w:szCs w:val="28"/>
        </w:rPr>
        <w:t>я</w:t>
      </w:r>
      <w:r w:rsidR="00070782" w:rsidRPr="00070782">
        <w:rPr>
          <w:rFonts w:ascii="Times New Roman" w:hAnsi="Times New Roman" w:cs="Times New Roman"/>
          <w:sz w:val="28"/>
          <w:szCs w:val="28"/>
        </w:rPr>
        <w:t xml:space="preserve"> рейтинговой оценки</w:t>
      </w:r>
      <w:r w:rsidRPr="00E4130B">
        <w:rPr>
          <w:rFonts w:ascii="Times New Roman" w:hAnsi="Times New Roman" w:cs="Times New Roman"/>
          <w:sz w:val="28"/>
          <w:szCs w:val="28"/>
        </w:rPr>
        <w:t xml:space="preserve">, предоставляются в Управление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Pr="00E4130B">
        <w:rPr>
          <w:rFonts w:ascii="Times New Roman" w:hAnsi="Times New Roman" w:cs="Times New Roman"/>
          <w:sz w:val="28"/>
          <w:szCs w:val="28"/>
        </w:rPr>
        <w:t>заказчиками ежеквартально в срок, не превышающий 10 календарных дней после окончания отчетного квартала</w:t>
      </w:r>
      <w:r>
        <w:rPr>
          <w:rFonts w:ascii="Times New Roman" w:hAnsi="Times New Roman" w:cs="Times New Roman"/>
          <w:sz w:val="28"/>
          <w:szCs w:val="28"/>
        </w:rPr>
        <w:t xml:space="preserve"> по форме, установленной в приложении 1</w:t>
      </w:r>
      <w:r w:rsidRPr="00E4130B">
        <w:rPr>
          <w:rFonts w:ascii="Times New Roman" w:hAnsi="Times New Roman" w:cs="Times New Roman"/>
          <w:sz w:val="28"/>
          <w:szCs w:val="28"/>
        </w:rPr>
        <w:t xml:space="preserve">. Данные по итогам отчетного года представляются в срок до 15 января года, следующего </w:t>
      </w:r>
      <w:proofErr w:type="gramStart"/>
      <w:r w:rsidRPr="00E4130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4130B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7732DB" w:rsidRPr="00E4130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bookmarkStart w:id="4" w:name="P75"/>
      <w:bookmarkEnd w:id="4"/>
      <w:r w:rsidRPr="00E4130B">
        <w:rPr>
          <w:sz w:val="28"/>
          <w:szCs w:val="28"/>
        </w:rPr>
        <w:t xml:space="preserve">8. Квартальная оценка эффективности закупочной деятельности предназначена для мониторинга текущего состояния закупочной деятельности государственных заказчиков Воронежской области. Управление проводит анализ полученных оценок эффективности закупочной </w:t>
      </w:r>
      <w:r w:rsidRPr="00E4130B">
        <w:rPr>
          <w:sz w:val="28"/>
          <w:szCs w:val="28"/>
        </w:rPr>
        <w:lastRenderedPageBreak/>
        <w:t xml:space="preserve">деятельности и при необходимости дает </w:t>
      </w:r>
      <w:r>
        <w:rPr>
          <w:sz w:val="28"/>
          <w:szCs w:val="28"/>
        </w:rPr>
        <w:t xml:space="preserve">государственным </w:t>
      </w:r>
      <w:r w:rsidRPr="00E4130B">
        <w:rPr>
          <w:sz w:val="28"/>
          <w:szCs w:val="28"/>
        </w:rPr>
        <w:t>заказчикам рекомендации по улучшению текущего состояния закупочной деятельности в срок до 30 числа месяца следующего за отчетным кварталом.</w:t>
      </w:r>
    </w:p>
    <w:p w:rsidR="007732DB" w:rsidRPr="00E4130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 w:rsidRPr="00E4130B">
        <w:rPr>
          <w:sz w:val="28"/>
          <w:szCs w:val="28"/>
        </w:rPr>
        <w:t>9. Годовая рейтинговая оценка эффективности закупочной деятельности формируется Управлением в срок до 1</w:t>
      </w:r>
      <w:r w:rsidR="00070782">
        <w:rPr>
          <w:sz w:val="28"/>
          <w:szCs w:val="28"/>
        </w:rPr>
        <w:t>5</w:t>
      </w:r>
      <w:r w:rsidRPr="00E4130B">
        <w:rPr>
          <w:sz w:val="28"/>
          <w:szCs w:val="28"/>
        </w:rPr>
        <w:t xml:space="preserve"> февраля года следующего </w:t>
      </w:r>
      <w:proofErr w:type="gramStart"/>
      <w:r w:rsidRPr="00E4130B">
        <w:rPr>
          <w:sz w:val="28"/>
          <w:szCs w:val="28"/>
        </w:rPr>
        <w:t>за</w:t>
      </w:r>
      <w:proofErr w:type="gramEnd"/>
      <w:r w:rsidRPr="00E4130B">
        <w:rPr>
          <w:sz w:val="28"/>
          <w:szCs w:val="28"/>
        </w:rPr>
        <w:t xml:space="preserve"> отчетным. Результаты оценки эффективности закупочной деятельности представляются</w:t>
      </w:r>
      <w:r>
        <w:rPr>
          <w:sz w:val="28"/>
          <w:szCs w:val="28"/>
        </w:rPr>
        <w:t xml:space="preserve"> государственным</w:t>
      </w:r>
      <w:r w:rsidRPr="00E4130B">
        <w:rPr>
          <w:sz w:val="28"/>
          <w:szCs w:val="28"/>
        </w:rPr>
        <w:t xml:space="preserve"> заказчи</w:t>
      </w:r>
      <w:r w:rsidR="00070782">
        <w:rPr>
          <w:sz w:val="28"/>
          <w:szCs w:val="28"/>
        </w:rPr>
        <w:t>кам</w:t>
      </w:r>
      <w:r w:rsidRPr="00E4130B">
        <w:rPr>
          <w:sz w:val="28"/>
          <w:szCs w:val="28"/>
        </w:rPr>
        <w:t>.</w:t>
      </w:r>
    </w:p>
    <w:p w:rsidR="007732DB" w:rsidRPr="00E4130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 w:rsidRPr="00E4130B">
        <w:rPr>
          <w:sz w:val="28"/>
          <w:szCs w:val="28"/>
        </w:rPr>
        <w:t xml:space="preserve">10. В случае несогласия с результатами оценки эффективности закупочной деятельности </w:t>
      </w:r>
      <w:r>
        <w:rPr>
          <w:sz w:val="28"/>
          <w:szCs w:val="28"/>
        </w:rPr>
        <w:t xml:space="preserve">государственный </w:t>
      </w:r>
      <w:r w:rsidRPr="00E4130B">
        <w:rPr>
          <w:sz w:val="28"/>
          <w:szCs w:val="28"/>
        </w:rPr>
        <w:t xml:space="preserve">заказчик может подать возражение в адрес Управления по </w:t>
      </w:r>
      <w:r>
        <w:rPr>
          <w:sz w:val="28"/>
          <w:szCs w:val="28"/>
        </w:rPr>
        <w:t xml:space="preserve">форме, </w:t>
      </w:r>
      <w:r w:rsidRPr="00E4130B">
        <w:rPr>
          <w:sz w:val="28"/>
          <w:szCs w:val="28"/>
        </w:rPr>
        <w:t>установленной в приложении</w:t>
      </w:r>
      <w:r>
        <w:rPr>
          <w:sz w:val="28"/>
          <w:szCs w:val="28"/>
        </w:rPr>
        <w:t xml:space="preserve"> 2,</w:t>
      </w:r>
      <w:r w:rsidRPr="00E4130B">
        <w:rPr>
          <w:sz w:val="28"/>
          <w:szCs w:val="28"/>
        </w:rPr>
        <w:t xml:space="preserve"> в </w:t>
      </w:r>
      <w:r w:rsidR="00070782">
        <w:rPr>
          <w:sz w:val="28"/>
          <w:szCs w:val="28"/>
        </w:rPr>
        <w:t xml:space="preserve">течение 5 рабочих дней с момента </w:t>
      </w:r>
      <w:proofErr w:type="gramStart"/>
      <w:r w:rsidR="00070782">
        <w:rPr>
          <w:sz w:val="28"/>
          <w:szCs w:val="28"/>
        </w:rPr>
        <w:t>получения результатов оценки эффективности закупочной деятельности</w:t>
      </w:r>
      <w:proofErr w:type="gramEnd"/>
      <w:r w:rsidRPr="00E4130B">
        <w:rPr>
          <w:sz w:val="28"/>
          <w:szCs w:val="28"/>
        </w:rPr>
        <w:t>.</w:t>
      </w:r>
    </w:p>
    <w:p w:rsidR="007732DB" w:rsidRPr="00E4130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 w:rsidRPr="00E4130B">
        <w:rPr>
          <w:sz w:val="28"/>
          <w:szCs w:val="28"/>
        </w:rPr>
        <w:t>11. Управление рассматривает поданные возражения и принимает решение об изменении оценки эффективности закупочной деятельности в срок, не превышающий 10 рабочих</w:t>
      </w:r>
      <w:r>
        <w:rPr>
          <w:sz w:val="28"/>
          <w:szCs w:val="28"/>
        </w:rPr>
        <w:t xml:space="preserve"> дней с момента подачи возражения</w:t>
      </w:r>
      <w:r w:rsidRPr="00E4130B">
        <w:rPr>
          <w:sz w:val="28"/>
          <w:szCs w:val="28"/>
        </w:rPr>
        <w:t>.</w:t>
      </w:r>
    </w:p>
    <w:p w:rsidR="007732DB" w:rsidRPr="00E4130B" w:rsidRDefault="007732DB" w:rsidP="007732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0B">
        <w:rPr>
          <w:rFonts w:ascii="Times New Roman" w:hAnsi="Times New Roman" w:cs="Times New Roman"/>
          <w:sz w:val="28"/>
          <w:szCs w:val="28"/>
        </w:rPr>
        <w:t xml:space="preserve">12. Результатом </w:t>
      </w:r>
      <w:r w:rsidR="00106E1D">
        <w:rPr>
          <w:rFonts w:ascii="Times New Roman" w:hAnsi="Times New Roman" w:cs="Times New Roman"/>
          <w:sz w:val="28"/>
          <w:szCs w:val="28"/>
        </w:rPr>
        <w:t xml:space="preserve">формирования рейтинговой оценки </w:t>
      </w:r>
      <w:r w:rsidRPr="00E4130B">
        <w:rPr>
          <w:rFonts w:ascii="Times New Roman" w:hAnsi="Times New Roman" w:cs="Times New Roman"/>
          <w:sz w:val="28"/>
          <w:szCs w:val="28"/>
        </w:rPr>
        <w:t xml:space="preserve">является формирование </w:t>
      </w:r>
      <w:r w:rsidR="00106E1D">
        <w:rPr>
          <w:rFonts w:ascii="Times New Roman" w:hAnsi="Times New Roman" w:cs="Times New Roman"/>
          <w:sz w:val="28"/>
          <w:szCs w:val="28"/>
        </w:rPr>
        <w:t>р</w:t>
      </w:r>
      <w:r w:rsidRPr="00E4130B">
        <w:rPr>
          <w:rFonts w:ascii="Times New Roman" w:hAnsi="Times New Roman"/>
          <w:sz w:val="28"/>
          <w:szCs w:val="28"/>
        </w:rPr>
        <w:t>ейтинга эффективности закупочной деятельности государственных заказчиков Воронежской области (далее – Рейтинг)</w:t>
      </w:r>
      <w:r w:rsidRPr="00E4130B">
        <w:rPr>
          <w:rFonts w:ascii="Times New Roman" w:hAnsi="Times New Roman" w:cs="Times New Roman"/>
          <w:sz w:val="28"/>
          <w:szCs w:val="28"/>
        </w:rPr>
        <w:t>.</w:t>
      </w:r>
    </w:p>
    <w:p w:rsidR="007732DB" w:rsidRPr="00E4130B" w:rsidRDefault="007732DB" w:rsidP="007732DB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30B">
        <w:rPr>
          <w:rFonts w:ascii="Times New Roman" w:hAnsi="Times New Roman"/>
          <w:sz w:val="28"/>
          <w:szCs w:val="28"/>
        </w:rPr>
        <w:t>13. Управление формирует Рейтинг по двум категориям государственных заказчиков Воронежской области:</w:t>
      </w:r>
    </w:p>
    <w:p w:rsidR="007732DB" w:rsidRPr="00E4130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 w:rsidRPr="00E4130B">
        <w:rPr>
          <w:sz w:val="28"/>
          <w:szCs w:val="28"/>
        </w:rPr>
        <w:t>- I категория – государственные заказчики области с годовым объемом закупок, проведенных конкурентными способами определения поставщиков (подрядчиков, исполнителей), свыше 10 миллионов рублей;</w:t>
      </w:r>
    </w:p>
    <w:p w:rsidR="007732DB" w:rsidRPr="00E4130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 w:rsidRPr="00E4130B">
        <w:rPr>
          <w:sz w:val="28"/>
          <w:szCs w:val="28"/>
        </w:rPr>
        <w:t>- II категория – государственные заказчики области с годовым объемом закупок, проведенных конкурентными способами определения поставщиков (подрядчиков, исполнителей), не превышающим 10 миллионов рублей.</w:t>
      </w:r>
    </w:p>
    <w:p w:rsidR="007732D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 w:rsidRPr="00E4130B">
        <w:rPr>
          <w:sz w:val="28"/>
          <w:szCs w:val="28"/>
        </w:rPr>
        <w:t xml:space="preserve">14. На основании скорректированных оценок эффективности закупочной деятельности Управление присваивает </w:t>
      </w:r>
      <w:r>
        <w:rPr>
          <w:sz w:val="28"/>
          <w:szCs w:val="28"/>
        </w:rPr>
        <w:t xml:space="preserve">государственным </w:t>
      </w:r>
      <w:r w:rsidRPr="00E4130B">
        <w:rPr>
          <w:sz w:val="28"/>
          <w:szCs w:val="28"/>
        </w:rPr>
        <w:t>заказчикам области место в Рейтинге и категорию эффективности</w:t>
      </w:r>
      <w:r>
        <w:rPr>
          <w:sz w:val="28"/>
          <w:szCs w:val="28"/>
        </w:rPr>
        <w:t xml:space="preserve"> осуществления закупок</w:t>
      </w:r>
      <w:r w:rsidRPr="00E4130B">
        <w:rPr>
          <w:sz w:val="28"/>
          <w:szCs w:val="28"/>
        </w:rPr>
        <w:t xml:space="preserve"> (таблица).</w:t>
      </w:r>
    </w:p>
    <w:p w:rsidR="007732DB" w:rsidRDefault="007732DB" w:rsidP="007732D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</w:t>
      </w:r>
    </w:p>
    <w:p w:rsidR="007732DB" w:rsidRDefault="007732DB" w:rsidP="007732DB">
      <w:pPr>
        <w:jc w:val="right"/>
        <w:rPr>
          <w:sz w:val="28"/>
          <w:szCs w:val="28"/>
        </w:rPr>
      </w:pPr>
    </w:p>
    <w:p w:rsidR="007732DB" w:rsidRDefault="007732DB" w:rsidP="007732DB">
      <w:pPr>
        <w:jc w:val="center"/>
        <w:rPr>
          <w:sz w:val="28"/>
          <w:szCs w:val="28"/>
        </w:rPr>
      </w:pPr>
      <w:r w:rsidRPr="005D5020">
        <w:rPr>
          <w:sz w:val="28"/>
          <w:szCs w:val="28"/>
        </w:rPr>
        <w:t xml:space="preserve">Критерии отнесения </w:t>
      </w:r>
      <w:r>
        <w:rPr>
          <w:sz w:val="28"/>
          <w:szCs w:val="28"/>
        </w:rPr>
        <w:t xml:space="preserve">государственных </w:t>
      </w:r>
      <w:r w:rsidRPr="005D5020">
        <w:rPr>
          <w:sz w:val="28"/>
          <w:szCs w:val="28"/>
        </w:rPr>
        <w:t>заказчиков по зонам эффективности</w:t>
      </w:r>
      <w:r>
        <w:rPr>
          <w:sz w:val="28"/>
          <w:szCs w:val="28"/>
        </w:rPr>
        <w:t xml:space="preserve"> закупочной деятельности</w:t>
      </w:r>
    </w:p>
    <w:p w:rsidR="007732DB" w:rsidRPr="005D5020" w:rsidRDefault="007732DB" w:rsidP="007732DB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62"/>
        <w:gridCol w:w="3509"/>
      </w:tblGrid>
      <w:tr w:rsidR="007732DB" w:rsidRPr="005D5020" w:rsidTr="00B64736">
        <w:trPr>
          <w:trHeight w:val="510"/>
          <w:jc w:val="center"/>
        </w:trPr>
        <w:tc>
          <w:tcPr>
            <w:tcW w:w="3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D5020" w:rsidRDefault="007732DB" w:rsidP="00B64736">
            <w:pPr>
              <w:jc w:val="center"/>
              <w:rPr>
                <w:bCs/>
                <w:color w:val="000000"/>
              </w:rPr>
            </w:pPr>
            <w:r w:rsidRPr="005D5020">
              <w:rPr>
                <w:bCs/>
                <w:color w:val="000000"/>
              </w:rPr>
              <w:t>Уровень зонирования</w:t>
            </w:r>
          </w:p>
        </w:tc>
        <w:tc>
          <w:tcPr>
            <w:tcW w:w="1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D5020" w:rsidRDefault="007732DB" w:rsidP="00B64736">
            <w:pPr>
              <w:jc w:val="center"/>
              <w:rPr>
                <w:bCs/>
                <w:color w:val="000000"/>
              </w:rPr>
            </w:pPr>
            <w:r w:rsidRPr="005D5020">
              <w:rPr>
                <w:bCs/>
                <w:color w:val="000000"/>
              </w:rPr>
              <w:t xml:space="preserve">Критерий оценки </w:t>
            </w:r>
            <w:r>
              <w:rPr>
                <w:bCs/>
                <w:color w:val="000000"/>
              </w:rPr>
              <w:t>эффективности (Р</w:t>
            </w:r>
            <w:r w:rsidRPr="005D5020">
              <w:rPr>
                <w:bCs/>
                <w:color w:val="000000"/>
              </w:rPr>
              <w:t>)</w:t>
            </w:r>
          </w:p>
        </w:tc>
      </w:tr>
      <w:tr w:rsidR="007732DB" w:rsidRPr="005D5020" w:rsidTr="00B64736">
        <w:trPr>
          <w:trHeight w:val="276"/>
          <w:jc w:val="center"/>
        </w:trPr>
        <w:tc>
          <w:tcPr>
            <w:tcW w:w="3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2DB" w:rsidRPr="005D5020" w:rsidRDefault="007732DB" w:rsidP="00B64736">
            <w:pPr>
              <w:rPr>
                <w:bCs/>
                <w:color w:val="000000"/>
              </w:rPr>
            </w:pPr>
          </w:p>
        </w:tc>
        <w:tc>
          <w:tcPr>
            <w:tcW w:w="1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2DB" w:rsidRPr="005D5020" w:rsidRDefault="007732DB" w:rsidP="00B64736">
            <w:pPr>
              <w:rPr>
                <w:bCs/>
                <w:color w:val="000000"/>
              </w:rPr>
            </w:pPr>
          </w:p>
        </w:tc>
      </w:tr>
      <w:tr w:rsidR="007732DB" w:rsidRPr="005D5020" w:rsidTr="00B64736">
        <w:trPr>
          <w:trHeight w:val="255"/>
          <w:jc w:val="center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DB" w:rsidRPr="005D5020" w:rsidRDefault="007732DB" w:rsidP="00B64736">
            <w:pPr>
              <w:rPr>
                <w:color w:val="000000"/>
              </w:rPr>
            </w:pPr>
            <w:r w:rsidRPr="005D5020">
              <w:rPr>
                <w:color w:val="000000"/>
              </w:rPr>
              <w:t>Лучшие практики</w:t>
            </w:r>
          </w:p>
        </w:tc>
        <w:tc>
          <w:tcPr>
            <w:tcW w:w="1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DB" w:rsidRPr="005D5020" w:rsidRDefault="007732DB" w:rsidP="00B64736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  <w:r w:rsidRPr="005D5020">
              <w:rPr>
                <w:color w:val="000000"/>
              </w:rPr>
              <w:t xml:space="preserve"> ≥ 80 баллов</w:t>
            </w:r>
          </w:p>
        </w:tc>
      </w:tr>
      <w:tr w:rsidR="007732DB" w:rsidRPr="005D5020" w:rsidTr="00B64736">
        <w:trPr>
          <w:trHeight w:val="63"/>
          <w:jc w:val="center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D5020" w:rsidRDefault="007732DB" w:rsidP="00B64736">
            <w:pPr>
              <w:rPr>
                <w:color w:val="000000"/>
              </w:rPr>
            </w:pPr>
            <w:r w:rsidRPr="005D5020">
              <w:rPr>
                <w:color w:val="000000"/>
              </w:rPr>
              <w:t xml:space="preserve">Зона высокой эффективности закупочной деятельности </w:t>
            </w:r>
            <w:r>
              <w:rPr>
                <w:color w:val="000000"/>
              </w:rPr>
              <w:br/>
            </w:r>
            <w:r w:rsidRPr="005D5020">
              <w:rPr>
                <w:color w:val="000000"/>
              </w:rPr>
              <w:t>(«зеленая» зона)</w:t>
            </w:r>
          </w:p>
        </w:tc>
        <w:tc>
          <w:tcPr>
            <w:tcW w:w="1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DB" w:rsidRPr="005D5020" w:rsidRDefault="007732DB" w:rsidP="00B64736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  <w:r w:rsidRPr="005D5020">
              <w:rPr>
                <w:color w:val="000000"/>
              </w:rPr>
              <w:t xml:space="preserve"> ≥ 70 баллов</w:t>
            </w:r>
          </w:p>
        </w:tc>
      </w:tr>
      <w:tr w:rsidR="007732DB" w:rsidRPr="005D5020" w:rsidTr="00B64736">
        <w:trPr>
          <w:trHeight w:val="63"/>
          <w:jc w:val="center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D5020" w:rsidRDefault="007732DB" w:rsidP="00B64736">
            <w:pPr>
              <w:rPr>
                <w:color w:val="000000"/>
              </w:rPr>
            </w:pPr>
            <w:r w:rsidRPr="005D5020">
              <w:rPr>
                <w:color w:val="000000"/>
              </w:rPr>
              <w:t>Зона эффективно</w:t>
            </w:r>
            <w:r>
              <w:rPr>
                <w:color w:val="000000"/>
              </w:rPr>
              <w:t>сти</w:t>
            </w:r>
            <w:r w:rsidRPr="005D5020">
              <w:rPr>
                <w:color w:val="000000"/>
              </w:rPr>
              <w:t xml:space="preserve"> закупочной деятельности </w:t>
            </w:r>
            <w:r>
              <w:rPr>
                <w:color w:val="000000"/>
              </w:rPr>
              <w:t xml:space="preserve">выше среднего уровня </w:t>
            </w:r>
            <w:r w:rsidRPr="005D5020">
              <w:rPr>
                <w:color w:val="000000"/>
              </w:rPr>
              <w:t>(«желтая» зона)</w:t>
            </w:r>
          </w:p>
        </w:tc>
        <w:tc>
          <w:tcPr>
            <w:tcW w:w="1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D5020" w:rsidRDefault="007732DB" w:rsidP="00B64736">
            <w:pPr>
              <w:jc w:val="center"/>
              <w:rPr>
                <w:color w:val="000000"/>
              </w:rPr>
            </w:pPr>
            <w:r w:rsidRPr="005D5020">
              <w:rPr>
                <w:color w:val="000000"/>
              </w:rPr>
              <w:t xml:space="preserve">60 баллов ≤ 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 w:rsidRPr="005D5020">
              <w:rPr>
                <w:color w:val="000000"/>
              </w:rPr>
              <w:t xml:space="preserve"> &lt; 70 баллов</w:t>
            </w:r>
          </w:p>
        </w:tc>
      </w:tr>
      <w:tr w:rsidR="007732DB" w:rsidRPr="005D5020" w:rsidTr="00B64736">
        <w:trPr>
          <w:trHeight w:val="63"/>
          <w:jc w:val="center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D5020" w:rsidRDefault="007732DB" w:rsidP="00B64736">
            <w:pPr>
              <w:rPr>
                <w:color w:val="000000"/>
              </w:rPr>
            </w:pPr>
            <w:r w:rsidRPr="005D5020">
              <w:rPr>
                <w:color w:val="000000"/>
              </w:rPr>
              <w:t xml:space="preserve">Зона </w:t>
            </w:r>
            <w:r>
              <w:rPr>
                <w:color w:val="000000"/>
              </w:rPr>
              <w:t>средней</w:t>
            </w:r>
            <w:r w:rsidRPr="005D5020">
              <w:rPr>
                <w:color w:val="000000"/>
              </w:rPr>
              <w:t xml:space="preserve"> эффективности закупочной деятельности </w:t>
            </w:r>
            <w:r>
              <w:rPr>
                <w:color w:val="000000"/>
              </w:rPr>
              <w:br/>
            </w:r>
            <w:r w:rsidRPr="005D5020">
              <w:rPr>
                <w:color w:val="000000"/>
              </w:rPr>
              <w:t>(«оранжевая» зона)</w:t>
            </w:r>
          </w:p>
        </w:tc>
        <w:tc>
          <w:tcPr>
            <w:tcW w:w="1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D5020" w:rsidRDefault="007732DB" w:rsidP="00B647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5D5020">
              <w:rPr>
                <w:color w:val="000000"/>
              </w:rPr>
              <w:t xml:space="preserve">0 баллов ≤ 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 w:rsidRPr="005D5020">
              <w:rPr>
                <w:color w:val="000000"/>
              </w:rPr>
              <w:t xml:space="preserve"> &lt; 60 баллов</w:t>
            </w:r>
          </w:p>
        </w:tc>
      </w:tr>
      <w:tr w:rsidR="007732DB" w:rsidRPr="005D5020" w:rsidTr="00B64736">
        <w:trPr>
          <w:trHeight w:val="63"/>
          <w:jc w:val="center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D5020" w:rsidRDefault="007732DB" w:rsidP="00B64736">
            <w:pPr>
              <w:rPr>
                <w:color w:val="000000"/>
              </w:rPr>
            </w:pPr>
            <w:r w:rsidRPr="005D5020">
              <w:rPr>
                <w:color w:val="000000"/>
              </w:rPr>
              <w:t>Зона эффективно</w:t>
            </w:r>
            <w:r>
              <w:rPr>
                <w:color w:val="000000"/>
              </w:rPr>
              <w:t>сти</w:t>
            </w:r>
            <w:r w:rsidRPr="005D5020">
              <w:rPr>
                <w:color w:val="000000"/>
              </w:rPr>
              <w:t xml:space="preserve"> закупочной деятельности </w:t>
            </w:r>
            <w:r>
              <w:rPr>
                <w:color w:val="000000"/>
              </w:rPr>
              <w:t xml:space="preserve">ниже среднего уровня </w:t>
            </w:r>
            <w:r w:rsidRPr="005D5020">
              <w:rPr>
                <w:color w:val="000000"/>
              </w:rPr>
              <w:t>(«желтая» зона)</w:t>
            </w:r>
          </w:p>
        </w:tc>
        <w:tc>
          <w:tcPr>
            <w:tcW w:w="1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DB" w:rsidRPr="005D5020" w:rsidRDefault="007732DB" w:rsidP="00B64736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&lt; 4</w:t>
            </w:r>
            <w:r w:rsidRPr="005D5020">
              <w:rPr>
                <w:color w:val="000000"/>
              </w:rPr>
              <w:t>0 баллов</w:t>
            </w:r>
          </w:p>
        </w:tc>
      </w:tr>
    </w:tbl>
    <w:p w:rsidR="007732D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</w:p>
    <w:p w:rsidR="007732D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 w:rsidRPr="00E4130B">
        <w:rPr>
          <w:sz w:val="28"/>
          <w:szCs w:val="28"/>
        </w:rPr>
        <w:t xml:space="preserve">15. Рейтинг представляется с пояснительной запиской Губернатору области в срок до 1 апреля года, следующего </w:t>
      </w:r>
      <w:proofErr w:type="gramStart"/>
      <w:r w:rsidRPr="00E4130B">
        <w:rPr>
          <w:sz w:val="28"/>
          <w:szCs w:val="28"/>
        </w:rPr>
        <w:t>за</w:t>
      </w:r>
      <w:proofErr w:type="gramEnd"/>
      <w:r w:rsidRPr="00E4130B">
        <w:rPr>
          <w:sz w:val="28"/>
          <w:szCs w:val="28"/>
        </w:rPr>
        <w:t xml:space="preserve"> отчетным.</w:t>
      </w:r>
    </w:p>
    <w:p w:rsidR="007732DB" w:rsidRDefault="007732DB" w:rsidP="007732D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59BA" w:rsidRDefault="008559BA" w:rsidP="008559BA">
      <w:pPr>
        <w:jc w:val="right"/>
        <w:rPr>
          <w:sz w:val="28"/>
          <w:szCs w:val="28"/>
        </w:rPr>
      </w:pPr>
      <w:r w:rsidRPr="00D83F90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1 </w:t>
      </w:r>
      <w:r>
        <w:rPr>
          <w:sz w:val="28"/>
          <w:szCs w:val="28"/>
        </w:rPr>
        <w:br/>
      </w:r>
      <w:r w:rsidRPr="00D83F90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Порядку </w:t>
      </w:r>
      <w:r>
        <w:rPr>
          <w:sz w:val="28"/>
          <w:szCs w:val="28"/>
        </w:rPr>
        <w:br/>
        <w:t xml:space="preserve">формирования рейтинговой оценки </w:t>
      </w:r>
    </w:p>
    <w:p w:rsidR="008559BA" w:rsidRPr="00D83F90" w:rsidRDefault="008559BA" w:rsidP="008559BA">
      <w:pPr>
        <w:jc w:val="right"/>
        <w:rPr>
          <w:sz w:val="28"/>
          <w:szCs w:val="28"/>
        </w:rPr>
      </w:pPr>
      <w:r w:rsidRPr="00F52C8B">
        <w:rPr>
          <w:sz w:val="28"/>
          <w:szCs w:val="28"/>
        </w:rPr>
        <w:t>эффективности закупочной деятельности</w:t>
      </w:r>
      <w:r>
        <w:rPr>
          <w:sz w:val="28"/>
          <w:szCs w:val="28"/>
        </w:rPr>
        <w:br/>
        <w:t>государственных заказчиков</w:t>
      </w:r>
      <w:r w:rsidRPr="008A315E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</w:t>
      </w:r>
      <w:r w:rsidRPr="00F52C8B">
        <w:rPr>
          <w:sz w:val="28"/>
          <w:szCs w:val="28"/>
        </w:rPr>
        <w:t>оронежской области</w:t>
      </w:r>
    </w:p>
    <w:p w:rsidR="007732DB" w:rsidRDefault="007732DB" w:rsidP="007732DB">
      <w:pPr>
        <w:jc w:val="right"/>
        <w:rPr>
          <w:sz w:val="28"/>
          <w:szCs w:val="28"/>
        </w:rPr>
      </w:pPr>
    </w:p>
    <w:p w:rsidR="007732DB" w:rsidRDefault="007732DB" w:rsidP="007732DB">
      <w:pPr>
        <w:spacing w:after="60"/>
        <w:jc w:val="center"/>
        <w:rPr>
          <w:sz w:val="28"/>
          <w:szCs w:val="28"/>
        </w:rPr>
      </w:pPr>
      <w:r w:rsidRPr="008F42E2">
        <w:rPr>
          <w:sz w:val="28"/>
          <w:szCs w:val="28"/>
        </w:rPr>
        <w:t xml:space="preserve">Информация об </w:t>
      </w:r>
      <w:r>
        <w:rPr>
          <w:sz w:val="28"/>
          <w:szCs w:val="28"/>
        </w:rPr>
        <w:t xml:space="preserve">осуществлении закупок </w:t>
      </w:r>
      <w:r w:rsidRPr="008F42E2">
        <w:rPr>
          <w:sz w:val="28"/>
          <w:szCs w:val="28"/>
        </w:rPr>
        <w:t>*</w:t>
      </w:r>
    </w:p>
    <w:p w:rsidR="007732DB" w:rsidRPr="00575B2A" w:rsidRDefault="007732DB" w:rsidP="007732DB">
      <w:pPr>
        <w:spacing w:after="120"/>
        <w:jc w:val="center"/>
        <w:rPr>
          <w:szCs w:val="28"/>
        </w:rPr>
      </w:pPr>
      <w:r w:rsidRPr="00575B2A">
        <w:rPr>
          <w:szCs w:val="28"/>
        </w:rPr>
        <w:t>Отчетный период с 01.01.20__ по __.__.20__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93"/>
        <w:gridCol w:w="2746"/>
        <w:gridCol w:w="4870"/>
        <w:gridCol w:w="1162"/>
      </w:tblGrid>
      <w:tr w:rsidR="007732DB" w:rsidRPr="00575B2A" w:rsidTr="00B64736">
        <w:trPr>
          <w:trHeight w:val="541"/>
        </w:trPr>
        <w:tc>
          <w:tcPr>
            <w:tcW w:w="33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75B2A" w:rsidRDefault="007732DB" w:rsidP="00B64736">
            <w:pPr>
              <w:jc w:val="right"/>
              <w:rPr>
                <w:color w:val="000000"/>
                <w:sz w:val="20"/>
                <w:szCs w:val="20"/>
                <w:u w:val="single"/>
              </w:rPr>
            </w:pPr>
            <w:r w:rsidRPr="00575B2A">
              <w:rPr>
                <w:color w:val="000000"/>
                <w:sz w:val="20"/>
                <w:szCs w:val="20"/>
                <w:u w:val="single"/>
              </w:rPr>
              <w:t>Наименование заказчика:</w:t>
            </w:r>
          </w:p>
        </w:tc>
        <w:tc>
          <w:tcPr>
            <w:tcW w:w="60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60"/>
        </w:trPr>
        <w:tc>
          <w:tcPr>
            <w:tcW w:w="333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75B2A" w:rsidRDefault="007732DB" w:rsidP="00B64736">
            <w:pPr>
              <w:jc w:val="right"/>
              <w:rPr>
                <w:color w:val="000000"/>
                <w:sz w:val="20"/>
                <w:szCs w:val="20"/>
                <w:u w:val="single"/>
              </w:rPr>
            </w:pPr>
            <w:r w:rsidRPr="00575B2A">
              <w:rPr>
                <w:color w:val="000000"/>
                <w:sz w:val="20"/>
                <w:szCs w:val="20"/>
                <w:u w:val="single"/>
              </w:rPr>
              <w:t>ИНН заказчика:</w:t>
            </w:r>
          </w:p>
        </w:tc>
        <w:tc>
          <w:tcPr>
            <w:tcW w:w="60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60"/>
        </w:trPr>
        <w:tc>
          <w:tcPr>
            <w:tcW w:w="5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575B2A">
              <w:rPr>
                <w:color w:val="000000"/>
                <w:sz w:val="20"/>
                <w:szCs w:val="20"/>
              </w:rPr>
              <w:t>п.п</w:t>
            </w:r>
            <w:proofErr w:type="spellEnd"/>
            <w:r w:rsidRPr="00575B2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61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7732DB" w:rsidRPr="00575B2A" w:rsidTr="00B64736">
        <w:trPr>
          <w:trHeight w:val="6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7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>Фактическая дата публикации плана-графика в ЕИС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 xml:space="preserve">Количество позиций в </w:t>
            </w:r>
            <w:proofErr w:type="gramStart"/>
            <w:r w:rsidRPr="00575B2A">
              <w:rPr>
                <w:sz w:val="20"/>
                <w:szCs w:val="20"/>
              </w:rPr>
              <w:t>плане-графике</w:t>
            </w:r>
            <w:proofErr w:type="gramEnd"/>
            <w:r w:rsidRPr="00575B2A">
              <w:rPr>
                <w:sz w:val="20"/>
                <w:szCs w:val="20"/>
              </w:rPr>
              <w:t xml:space="preserve"> на начало года, по которым публикуется извещение о закупке, ед.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1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 xml:space="preserve">Количество позиций в </w:t>
            </w:r>
            <w:proofErr w:type="gramStart"/>
            <w:r w:rsidRPr="00575B2A">
              <w:rPr>
                <w:sz w:val="20"/>
                <w:szCs w:val="20"/>
              </w:rPr>
              <w:t>плане-графике</w:t>
            </w:r>
            <w:proofErr w:type="gramEnd"/>
            <w:r w:rsidRPr="00575B2A">
              <w:rPr>
                <w:sz w:val="20"/>
                <w:szCs w:val="20"/>
              </w:rPr>
              <w:t xml:space="preserve"> на последнюю отчетную дату, по которым публикуется извещение о закупке за исключением позиций, добавленных по объективным причинам (образовавшаяся экономия, изменение финансирования, технические сбои), ед.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 xml:space="preserve">Количество позиций в </w:t>
            </w:r>
            <w:proofErr w:type="gramStart"/>
            <w:r w:rsidRPr="00575B2A">
              <w:rPr>
                <w:sz w:val="20"/>
                <w:szCs w:val="20"/>
              </w:rPr>
              <w:t>плане-графике</w:t>
            </w:r>
            <w:proofErr w:type="gramEnd"/>
            <w:r w:rsidRPr="00575B2A">
              <w:rPr>
                <w:sz w:val="20"/>
                <w:szCs w:val="20"/>
              </w:rPr>
              <w:t xml:space="preserve"> на последнюю отчетную дату, по которым публикуется извещение о закупке, ед.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328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 xml:space="preserve">Количество изменений в </w:t>
            </w:r>
            <w:proofErr w:type="gramStart"/>
            <w:r w:rsidRPr="00575B2A">
              <w:rPr>
                <w:sz w:val="20"/>
                <w:szCs w:val="20"/>
              </w:rPr>
              <w:t>плане-графике</w:t>
            </w:r>
            <w:proofErr w:type="gramEnd"/>
            <w:r w:rsidRPr="00575B2A">
              <w:rPr>
                <w:sz w:val="20"/>
                <w:szCs w:val="20"/>
              </w:rPr>
              <w:t xml:space="preserve"> в отчетном периоде, за исключением изменений, связанных с изменением действующего законодательства, добавлением новых позиций и корректировкой НМЦК, ед.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 xml:space="preserve">Стоимость контрактов, сложившаяся по результатам проведенных запросов котировок по данным итогового протокола, итоги по которым подводятся в отчетном </w:t>
            </w:r>
            <w:proofErr w:type="gramStart"/>
            <w:r w:rsidRPr="00575B2A">
              <w:rPr>
                <w:sz w:val="20"/>
                <w:szCs w:val="20"/>
              </w:rPr>
              <w:t>периоде</w:t>
            </w:r>
            <w:proofErr w:type="gramEnd"/>
            <w:r w:rsidRPr="00575B2A">
              <w:rPr>
                <w:sz w:val="20"/>
                <w:szCs w:val="20"/>
              </w:rPr>
              <w:t>, руб.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>Стоимость контрактов, заключенных по результатам проведения «малых» закупок в РИС в соответствии с п. 4, 5 ч. 1 ст. 93 Федерального закона № 44-ФЗ, руб.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>Стоимость контрактов, заключенных с единственным поставщиком в соответствии с п. 4, 5 ч. 1 ст. 93 Федерального закона № 44-ФЗ за исключением закупок товаров, работ, услуг из перечня, закрепленного в приложении 1 приказа УРКС ВО от 03.05.2017 №110 о/н, руб.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>Стоимость контрактов, сложившаяся по результатам проведения процедуры «малых» закупок, проведенных в РИС в соответствии с п. 4, 5 ч. 1 ст. 93 Федерального закона № 44-ФЗ по данным итогового протокола, руб.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>Сумма НМЦК «малых» закупок, проведенных в РИС в соответствии с п. 4, 5 ч. 1 ст. 93 Федерального закона № 44-ФЗ, руб.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>Стоимость контрактов, заключенных с СМП и СОНКО, рассчитанная в соответствии со ст. 30 Федерального закона № 44-ФЗ, руб.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 xml:space="preserve">Совокупный годовой объем закупок, рассчитанный в </w:t>
            </w:r>
            <w:proofErr w:type="gramStart"/>
            <w:r w:rsidRPr="00575B2A">
              <w:rPr>
                <w:sz w:val="20"/>
                <w:szCs w:val="20"/>
              </w:rPr>
              <w:t>соответствии</w:t>
            </w:r>
            <w:proofErr w:type="gramEnd"/>
            <w:r w:rsidRPr="00575B2A">
              <w:rPr>
                <w:sz w:val="20"/>
                <w:szCs w:val="20"/>
              </w:rPr>
              <w:t xml:space="preserve"> со ст. 30 Федерального закона № 44-ФЗ, руб.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>Совокупный годовой объем закупок, руб.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182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>Стоимость контрактов, заключенных с единственным поставщиком в соответствии с п. 4, 5 ч. 1 ст. 93 Федерального закона № 44-ФЗ, руб.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>Количество обоснованных и частично обоснованных жалоб, за исключением отмененных решением суда, ед.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>Количество специалистов, имеющих сертификат о повышении квалификации в соответствии с Федеральным законом № 44-ФЗ, чел.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2DB" w:rsidRPr="00575B2A" w:rsidTr="00B64736">
        <w:trPr>
          <w:trHeight w:val="7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color w:val="000000"/>
                <w:sz w:val="20"/>
                <w:szCs w:val="20"/>
              </w:rPr>
            </w:pPr>
            <w:r w:rsidRPr="00575B2A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DB" w:rsidRPr="00575B2A" w:rsidRDefault="007732DB" w:rsidP="00B64736">
            <w:pPr>
              <w:rPr>
                <w:sz w:val="20"/>
                <w:szCs w:val="20"/>
              </w:rPr>
            </w:pPr>
            <w:r w:rsidRPr="00575B2A">
              <w:rPr>
                <w:sz w:val="20"/>
                <w:szCs w:val="20"/>
              </w:rPr>
              <w:t xml:space="preserve">Количество специалистов, занятых закупками в </w:t>
            </w:r>
            <w:proofErr w:type="gramStart"/>
            <w:r w:rsidRPr="00575B2A">
              <w:rPr>
                <w:sz w:val="20"/>
                <w:szCs w:val="20"/>
              </w:rPr>
              <w:t>учреждении</w:t>
            </w:r>
            <w:proofErr w:type="gramEnd"/>
            <w:r w:rsidRPr="00575B2A">
              <w:rPr>
                <w:sz w:val="20"/>
                <w:szCs w:val="20"/>
              </w:rPr>
              <w:t>, чел.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32DB" w:rsidRPr="00575B2A" w:rsidRDefault="007732DB" w:rsidP="00B647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732DB" w:rsidRDefault="007732DB" w:rsidP="007732DB">
      <w:pPr>
        <w:jc w:val="center"/>
        <w:rPr>
          <w:sz w:val="20"/>
          <w:szCs w:val="28"/>
        </w:rPr>
      </w:pPr>
      <w:r w:rsidRPr="008F42E2">
        <w:rPr>
          <w:sz w:val="20"/>
          <w:szCs w:val="28"/>
        </w:rPr>
        <w:t xml:space="preserve">*предоставляется </w:t>
      </w:r>
      <w:r>
        <w:rPr>
          <w:sz w:val="20"/>
          <w:szCs w:val="28"/>
        </w:rPr>
        <w:t xml:space="preserve">нарастающим итогом </w:t>
      </w:r>
      <w:r w:rsidRPr="008F42E2">
        <w:rPr>
          <w:sz w:val="20"/>
          <w:szCs w:val="28"/>
        </w:rPr>
        <w:t xml:space="preserve">отдельно по главному распорядителю бюджетных средств и каждому подведомственному учреждению, осуществляющему закупки в </w:t>
      </w:r>
      <w:proofErr w:type="gramStart"/>
      <w:r w:rsidRPr="008F42E2">
        <w:rPr>
          <w:sz w:val="20"/>
          <w:szCs w:val="28"/>
        </w:rPr>
        <w:t>соответствии</w:t>
      </w:r>
      <w:proofErr w:type="gramEnd"/>
      <w:r w:rsidRPr="008F42E2">
        <w:rPr>
          <w:sz w:val="20"/>
          <w:szCs w:val="28"/>
        </w:rPr>
        <w:t xml:space="preserve"> с Федеральным законом №44-ФЗ</w:t>
      </w:r>
    </w:p>
    <w:p w:rsidR="007732DB" w:rsidRDefault="007732DB" w:rsidP="007732DB">
      <w:pPr>
        <w:jc w:val="center"/>
        <w:rPr>
          <w:sz w:val="20"/>
          <w:szCs w:val="28"/>
        </w:rPr>
      </w:pPr>
    </w:p>
    <w:p w:rsidR="007732DB" w:rsidRDefault="007732DB" w:rsidP="007732DB">
      <w:pPr>
        <w:rPr>
          <w:sz w:val="28"/>
          <w:szCs w:val="28"/>
        </w:rPr>
      </w:pPr>
      <w:r>
        <w:rPr>
          <w:sz w:val="28"/>
          <w:szCs w:val="28"/>
        </w:rPr>
        <w:tab/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Подпись</w:t>
      </w:r>
      <w:r>
        <w:rPr>
          <w:sz w:val="28"/>
          <w:szCs w:val="28"/>
        </w:rPr>
        <w:br w:type="page"/>
      </w:r>
    </w:p>
    <w:p w:rsidR="008559BA" w:rsidRDefault="007732DB" w:rsidP="007732DB">
      <w:pPr>
        <w:jc w:val="right"/>
        <w:rPr>
          <w:sz w:val="28"/>
          <w:szCs w:val="28"/>
        </w:rPr>
      </w:pPr>
      <w:r w:rsidRPr="00D83F90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2 </w:t>
      </w:r>
      <w:r>
        <w:rPr>
          <w:sz w:val="28"/>
          <w:szCs w:val="28"/>
        </w:rPr>
        <w:br/>
      </w:r>
      <w:r w:rsidRPr="00D83F90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Порядку </w:t>
      </w:r>
      <w:r>
        <w:rPr>
          <w:sz w:val="28"/>
          <w:szCs w:val="28"/>
        </w:rPr>
        <w:br/>
        <w:t xml:space="preserve">формирования рейтинговой оценки </w:t>
      </w:r>
    </w:p>
    <w:p w:rsidR="007732DB" w:rsidRPr="00D83F90" w:rsidRDefault="008559BA" w:rsidP="007732DB">
      <w:pPr>
        <w:jc w:val="right"/>
        <w:rPr>
          <w:sz w:val="28"/>
          <w:szCs w:val="28"/>
        </w:rPr>
      </w:pPr>
      <w:r w:rsidRPr="00F52C8B">
        <w:rPr>
          <w:sz w:val="28"/>
          <w:szCs w:val="28"/>
        </w:rPr>
        <w:t>эффективности закупочной деятельности</w:t>
      </w:r>
      <w:r>
        <w:rPr>
          <w:sz w:val="28"/>
          <w:szCs w:val="28"/>
        </w:rPr>
        <w:br/>
        <w:t>государственных заказчиков</w:t>
      </w:r>
      <w:r w:rsidR="007732DB" w:rsidRPr="008A315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7732DB">
        <w:rPr>
          <w:sz w:val="28"/>
          <w:szCs w:val="28"/>
        </w:rPr>
        <w:t>В</w:t>
      </w:r>
      <w:r w:rsidR="007732DB" w:rsidRPr="00F52C8B">
        <w:rPr>
          <w:sz w:val="28"/>
          <w:szCs w:val="28"/>
        </w:rPr>
        <w:t>оронежской области</w:t>
      </w:r>
    </w:p>
    <w:p w:rsidR="007732DB" w:rsidRDefault="007732DB" w:rsidP="007732DB">
      <w:pPr>
        <w:jc w:val="right"/>
        <w:rPr>
          <w:sz w:val="28"/>
          <w:szCs w:val="28"/>
        </w:rPr>
      </w:pPr>
    </w:p>
    <w:p w:rsidR="007732DB" w:rsidRDefault="007732DB" w:rsidP="007732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возражения на результаты </w:t>
      </w:r>
      <w:r w:rsidRPr="007F217D">
        <w:rPr>
          <w:sz w:val="28"/>
          <w:szCs w:val="28"/>
        </w:rPr>
        <w:t>оценк</w:t>
      </w:r>
      <w:r>
        <w:rPr>
          <w:sz w:val="28"/>
          <w:szCs w:val="28"/>
        </w:rPr>
        <w:t>и</w:t>
      </w:r>
      <w:r w:rsidRPr="007F217D">
        <w:rPr>
          <w:sz w:val="28"/>
          <w:szCs w:val="28"/>
        </w:rPr>
        <w:t xml:space="preserve"> эффективности закупо</w:t>
      </w:r>
      <w:r>
        <w:rPr>
          <w:sz w:val="28"/>
          <w:szCs w:val="28"/>
        </w:rPr>
        <w:t>чной деятельности государственных заказчиков Воронежской области</w:t>
      </w:r>
    </w:p>
    <w:p w:rsidR="007732DB" w:rsidRPr="00D83F90" w:rsidRDefault="007732DB" w:rsidP="007732DB">
      <w:pPr>
        <w:jc w:val="center"/>
        <w:rPr>
          <w:sz w:val="28"/>
          <w:szCs w:val="28"/>
        </w:rPr>
      </w:pP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93"/>
        <w:gridCol w:w="1430"/>
        <w:gridCol w:w="5315"/>
        <w:gridCol w:w="1807"/>
      </w:tblGrid>
      <w:tr w:rsidR="007732DB" w:rsidRPr="00947CD7" w:rsidTr="00B64736">
        <w:trPr>
          <w:jc w:val="center"/>
        </w:trPr>
        <w:tc>
          <w:tcPr>
            <w:tcW w:w="593" w:type="dxa"/>
            <w:vAlign w:val="center"/>
          </w:tcPr>
          <w:p w:rsidR="007732DB" w:rsidRPr="00947CD7" w:rsidRDefault="007732DB" w:rsidP="00B64736">
            <w:pPr>
              <w:jc w:val="center"/>
            </w:pPr>
            <w:r w:rsidRPr="00947CD7">
              <w:t xml:space="preserve">№ </w:t>
            </w:r>
            <w:proofErr w:type="spellStart"/>
            <w:r w:rsidRPr="00947CD7">
              <w:t>п.п</w:t>
            </w:r>
            <w:proofErr w:type="spellEnd"/>
            <w:r w:rsidRPr="00947CD7">
              <w:t>.</w:t>
            </w:r>
          </w:p>
        </w:tc>
        <w:tc>
          <w:tcPr>
            <w:tcW w:w="1430" w:type="dxa"/>
            <w:vAlign w:val="center"/>
          </w:tcPr>
          <w:p w:rsidR="007732DB" w:rsidRPr="00947CD7" w:rsidRDefault="007732DB" w:rsidP="00B64736">
            <w:pPr>
              <w:jc w:val="center"/>
            </w:pPr>
            <w:r>
              <w:t>Показатель</w:t>
            </w:r>
          </w:p>
        </w:tc>
        <w:tc>
          <w:tcPr>
            <w:tcW w:w="5315" w:type="dxa"/>
            <w:vAlign w:val="center"/>
          </w:tcPr>
          <w:p w:rsidR="007732DB" w:rsidRPr="00947CD7" w:rsidRDefault="007732DB" w:rsidP="00B64736">
            <w:pPr>
              <w:jc w:val="center"/>
            </w:pPr>
            <w:r>
              <w:t>Суть возражения</w:t>
            </w:r>
          </w:p>
        </w:tc>
        <w:tc>
          <w:tcPr>
            <w:tcW w:w="1807" w:type="dxa"/>
            <w:vAlign w:val="center"/>
          </w:tcPr>
          <w:p w:rsidR="007732DB" w:rsidRPr="00947CD7" w:rsidRDefault="007732DB" w:rsidP="00B64736">
            <w:pPr>
              <w:jc w:val="center"/>
            </w:pPr>
            <w:r>
              <w:t>Пересчитанное значение показателя оценки</w:t>
            </w:r>
          </w:p>
        </w:tc>
      </w:tr>
      <w:tr w:rsidR="007732DB" w:rsidRPr="00947CD7" w:rsidTr="00B64736">
        <w:trPr>
          <w:jc w:val="center"/>
        </w:trPr>
        <w:tc>
          <w:tcPr>
            <w:tcW w:w="593" w:type="dxa"/>
          </w:tcPr>
          <w:p w:rsidR="007732DB" w:rsidRPr="00947CD7" w:rsidRDefault="007732DB" w:rsidP="00B64736"/>
        </w:tc>
        <w:tc>
          <w:tcPr>
            <w:tcW w:w="1430" w:type="dxa"/>
          </w:tcPr>
          <w:p w:rsidR="007732DB" w:rsidRPr="00947CD7" w:rsidRDefault="007732DB" w:rsidP="00B64736">
            <w:pPr>
              <w:jc w:val="center"/>
            </w:pPr>
          </w:p>
        </w:tc>
        <w:tc>
          <w:tcPr>
            <w:tcW w:w="5315" w:type="dxa"/>
          </w:tcPr>
          <w:p w:rsidR="007732DB" w:rsidRPr="00947CD7" w:rsidRDefault="007732DB" w:rsidP="00B64736">
            <w:pPr>
              <w:jc w:val="center"/>
            </w:pPr>
          </w:p>
        </w:tc>
        <w:tc>
          <w:tcPr>
            <w:tcW w:w="1807" w:type="dxa"/>
          </w:tcPr>
          <w:p w:rsidR="007732DB" w:rsidRPr="00947CD7" w:rsidRDefault="007732DB" w:rsidP="00B64736">
            <w:pPr>
              <w:jc w:val="center"/>
            </w:pPr>
          </w:p>
        </w:tc>
      </w:tr>
      <w:tr w:rsidR="007732DB" w:rsidRPr="00947CD7" w:rsidTr="00B64736">
        <w:trPr>
          <w:jc w:val="center"/>
        </w:trPr>
        <w:tc>
          <w:tcPr>
            <w:tcW w:w="593" w:type="dxa"/>
          </w:tcPr>
          <w:p w:rsidR="007732DB" w:rsidRPr="00947CD7" w:rsidRDefault="007732DB" w:rsidP="00B64736"/>
        </w:tc>
        <w:tc>
          <w:tcPr>
            <w:tcW w:w="1430" w:type="dxa"/>
          </w:tcPr>
          <w:p w:rsidR="007732DB" w:rsidRPr="00947CD7" w:rsidRDefault="007732DB" w:rsidP="00B64736">
            <w:pPr>
              <w:jc w:val="center"/>
            </w:pPr>
          </w:p>
        </w:tc>
        <w:tc>
          <w:tcPr>
            <w:tcW w:w="5315" w:type="dxa"/>
          </w:tcPr>
          <w:p w:rsidR="007732DB" w:rsidRPr="00947CD7" w:rsidRDefault="007732DB" w:rsidP="00B64736">
            <w:pPr>
              <w:jc w:val="center"/>
            </w:pPr>
          </w:p>
        </w:tc>
        <w:tc>
          <w:tcPr>
            <w:tcW w:w="1807" w:type="dxa"/>
          </w:tcPr>
          <w:p w:rsidR="007732DB" w:rsidRPr="00947CD7" w:rsidRDefault="007732DB" w:rsidP="00B64736">
            <w:pPr>
              <w:jc w:val="center"/>
            </w:pPr>
          </w:p>
        </w:tc>
      </w:tr>
      <w:tr w:rsidR="007732DB" w:rsidRPr="00947CD7" w:rsidTr="00B64736">
        <w:trPr>
          <w:jc w:val="center"/>
        </w:trPr>
        <w:tc>
          <w:tcPr>
            <w:tcW w:w="593" w:type="dxa"/>
          </w:tcPr>
          <w:p w:rsidR="007732DB" w:rsidRPr="00947CD7" w:rsidRDefault="007732DB" w:rsidP="00B64736"/>
        </w:tc>
        <w:tc>
          <w:tcPr>
            <w:tcW w:w="1430" w:type="dxa"/>
          </w:tcPr>
          <w:p w:rsidR="007732DB" w:rsidRPr="00947CD7" w:rsidRDefault="007732DB" w:rsidP="00B64736">
            <w:pPr>
              <w:jc w:val="center"/>
            </w:pPr>
          </w:p>
        </w:tc>
        <w:tc>
          <w:tcPr>
            <w:tcW w:w="5315" w:type="dxa"/>
          </w:tcPr>
          <w:p w:rsidR="007732DB" w:rsidRPr="00947CD7" w:rsidRDefault="007732DB" w:rsidP="00B64736">
            <w:pPr>
              <w:jc w:val="center"/>
            </w:pPr>
          </w:p>
        </w:tc>
        <w:tc>
          <w:tcPr>
            <w:tcW w:w="1807" w:type="dxa"/>
          </w:tcPr>
          <w:p w:rsidR="007732DB" w:rsidRPr="00947CD7" w:rsidRDefault="007732DB" w:rsidP="00B64736">
            <w:pPr>
              <w:jc w:val="center"/>
            </w:pPr>
          </w:p>
        </w:tc>
      </w:tr>
      <w:tr w:rsidR="007732DB" w:rsidRPr="00947CD7" w:rsidTr="00B64736">
        <w:trPr>
          <w:jc w:val="center"/>
        </w:trPr>
        <w:tc>
          <w:tcPr>
            <w:tcW w:w="593" w:type="dxa"/>
          </w:tcPr>
          <w:p w:rsidR="007732DB" w:rsidRPr="00947CD7" w:rsidRDefault="007732DB" w:rsidP="00B64736"/>
        </w:tc>
        <w:tc>
          <w:tcPr>
            <w:tcW w:w="1430" w:type="dxa"/>
          </w:tcPr>
          <w:p w:rsidR="007732DB" w:rsidRPr="00947CD7" w:rsidRDefault="007732DB" w:rsidP="00B64736">
            <w:pPr>
              <w:jc w:val="center"/>
            </w:pPr>
          </w:p>
        </w:tc>
        <w:tc>
          <w:tcPr>
            <w:tcW w:w="5315" w:type="dxa"/>
          </w:tcPr>
          <w:p w:rsidR="007732DB" w:rsidRPr="00947CD7" w:rsidRDefault="007732DB" w:rsidP="00B64736">
            <w:pPr>
              <w:jc w:val="center"/>
            </w:pPr>
          </w:p>
        </w:tc>
        <w:tc>
          <w:tcPr>
            <w:tcW w:w="1807" w:type="dxa"/>
          </w:tcPr>
          <w:p w:rsidR="007732DB" w:rsidRPr="00947CD7" w:rsidRDefault="007732DB" w:rsidP="00B64736">
            <w:pPr>
              <w:jc w:val="center"/>
            </w:pPr>
          </w:p>
        </w:tc>
      </w:tr>
      <w:tr w:rsidR="007732DB" w:rsidRPr="00947CD7" w:rsidTr="00B64736">
        <w:trPr>
          <w:jc w:val="center"/>
        </w:trPr>
        <w:tc>
          <w:tcPr>
            <w:tcW w:w="593" w:type="dxa"/>
          </w:tcPr>
          <w:p w:rsidR="007732DB" w:rsidRPr="00947CD7" w:rsidRDefault="007732DB" w:rsidP="00B64736"/>
        </w:tc>
        <w:tc>
          <w:tcPr>
            <w:tcW w:w="1430" w:type="dxa"/>
          </w:tcPr>
          <w:p w:rsidR="007732DB" w:rsidRPr="00947CD7" w:rsidRDefault="007732DB" w:rsidP="00B64736">
            <w:pPr>
              <w:jc w:val="center"/>
            </w:pPr>
          </w:p>
        </w:tc>
        <w:tc>
          <w:tcPr>
            <w:tcW w:w="5315" w:type="dxa"/>
          </w:tcPr>
          <w:p w:rsidR="007732DB" w:rsidRPr="00947CD7" w:rsidRDefault="007732DB" w:rsidP="00B64736">
            <w:pPr>
              <w:jc w:val="center"/>
            </w:pPr>
          </w:p>
        </w:tc>
        <w:tc>
          <w:tcPr>
            <w:tcW w:w="1807" w:type="dxa"/>
          </w:tcPr>
          <w:p w:rsidR="007732DB" w:rsidRPr="00947CD7" w:rsidRDefault="007732DB" w:rsidP="00B64736">
            <w:pPr>
              <w:jc w:val="center"/>
            </w:pPr>
          </w:p>
        </w:tc>
      </w:tr>
    </w:tbl>
    <w:p w:rsidR="007732DB" w:rsidRDefault="007732DB" w:rsidP="007732DB">
      <w:pPr>
        <w:spacing w:line="360" w:lineRule="auto"/>
        <w:jc w:val="center"/>
        <w:rPr>
          <w:sz w:val="28"/>
          <w:szCs w:val="28"/>
        </w:rPr>
      </w:pPr>
    </w:p>
    <w:p w:rsidR="007732DB" w:rsidRDefault="007732DB" w:rsidP="007732DB">
      <w:pPr>
        <w:rPr>
          <w:sz w:val="28"/>
          <w:szCs w:val="28"/>
        </w:rPr>
      </w:pPr>
      <w:r>
        <w:rPr>
          <w:sz w:val="28"/>
          <w:szCs w:val="28"/>
        </w:rPr>
        <w:tab/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Подпись</w:t>
      </w:r>
    </w:p>
    <w:p w:rsidR="00821674" w:rsidRPr="00966787" w:rsidRDefault="007732DB" w:rsidP="00821674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21674">
        <w:rPr>
          <w:sz w:val="28"/>
          <w:szCs w:val="28"/>
        </w:rPr>
        <w:lastRenderedPageBreak/>
        <w:t xml:space="preserve">Утверждена </w:t>
      </w:r>
      <w:r w:rsidR="00821674">
        <w:rPr>
          <w:sz w:val="28"/>
          <w:szCs w:val="28"/>
        </w:rPr>
        <w:br/>
        <w:t xml:space="preserve">приказом УРКС ВО </w:t>
      </w:r>
      <w:r w:rsidR="00821674">
        <w:rPr>
          <w:sz w:val="28"/>
          <w:szCs w:val="28"/>
        </w:rPr>
        <w:br/>
      </w:r>
      <w:r w:rsidR="00821674" w:rsidRPr="005C0420">
        <w:rPr>
          <w:sz w:val="28"/>
          <w:szCs w:val="28"/>
        </w:rPr>
        <w:t>от</w:t>
      </w:r>
      <w:r w:rsidR="00821674" w:rsidRPr="008D056A">
        <w:rPr>
          <w:sz w:val="28"/>
          <w:szCs w:val="28"/>
        </w:rPr>
        <w:t xml:space="preserve"> </w:t>
      </w:r>
      <w:r w:rsidR="00821674">
        <w:rPr>
          <w:sz w:val="28"/>
          <w:szCs w:val="28"/>
        </w:rPr>
        <w:t>09.11.2017 № 4</w:t>
      </w:r>
      <w:r w:rsidR="008B25CA">
        <w:rPr>
          <w:sz w:val="28"/>
          <w:szCs w:val="28"/>
        </w:rPr>
        <w:t>6</w:t>
      </w:r>
      <w:r w:rsidR="00821674">
        <w:rPr>
          <w:sz w:val="28"/>
          <w:szCs w:val="28"/>
        </w:rPr>
        <w:t>65 «о»</w:t>
      </w:r>
    </w:p>
    <w:p w:rsidR="007732DB" w:rsidRDefault="007732DB" w:rsidP="007732DB">
      <w:pPr>
        <w:jc w:val="right"/>
        <w:rPr>
          <w:sz w:val="28"/>
          <w:szCs w:val="28"/>
        </w:rPr>
      </w:pPr>
    </w:p>
    <w:p w:rsidR="007732DB" w:rsidRDefault="007732DB" w:rsidP="007732DB">
      <w:pPr>
        <w:jc w:val="right"/>
        <w:rPr>
          <w:sz w:val="28"/>
          <w:szCs w:val="28"/>
        </w:rPr>
      </w:pPr>
    </w:p>
    <w:p w:rsidR="007732DB" w:rsidRPr="00D83F90" w:rsidRDefault="007732DB" w:rsidP="007732DB">
      <w:pPr>
        <w:jc w:val="right"/>
        <w:rPr>
          <w:sz w:val="28"/>
          <w:szCs w:val="28"/>
        </w:rPr>
      </w:pPr>
    </w:p>
    <w:p w:rsidR="007732DB" w:rsidRDefault="007732DB" w:rsidP="007732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МЕТОДИКА </w:t>
      </w:r>
      <w:r>
        <w:rPr>
          <w:b/>
          <w:sz w:val="28"/>
          <w:szCs w:val="28"/>
        </w:rPr>
        <w:br/>
      </w:r>
      <w:proofErr w:type="gramStart"/>
      <w:r w:rsidRPr="00A62038">
        <w:rPr>
          <w:b/>
          <w:sz w:val="28"/>
          <w:szCs w:val="28"/>
        </w:rPr>
        <w:t xml:space="preserve">ФОРМИРОВАНИЯ РЕЙТИНГОВОЙ ОЦЕНКИ </w:t>
      </w:r>
      <w:r>
        <w:rPr>
          <w:b/>
          <w:sz w:val="28"/>
          <w:szCs w:val="28"/>
        </w:rPr>
        <w:br/>
      </w:r>
      <w:r w:rsidRPr="00A62038">
        <w:rPr>
          <w:b/>
          <w:sz w:val="28"/>
          <w:szCs w:val="28"/>
        </w:rPr>
        <w:t xml:space="preserve">ЭФФЕКТИВНОСТИ ЗАКУПОЧНОЙ ДЕЯТЕЛЬНОСТИ </w:t>
      </w:r>
      <w:r>
        <w:rPr>
          <w:b/>
          <w:sz w:val="28"/>
          <w:szCs w:val="28"/>
        </w:rPr>
        <w:br/>
      </w:r>
      <w:r w:rsidRPr="00A62038">
        <w:rPr>
          <w:b/>
          <w:sz w:val="28"/>
          <w:szCs w:val="28"/>
        </w:rPr>
        <w:t>ГОСУДАРСТВЕННЫХ ЗАКАЗЧИКОВ ВОРОНЕЖСКОЙ</w:t>
      </w:r>
      <w:r>
        <w:rPr>
          <w:b/>
          <w:sz w:val="28"/>
          <w:szCs w:val="28"/>
        </w:rPr>
        <w:t xml:space="preserve"> ОБЛАСТИ</w:t>
      </w:r>
      <w:proofErr w:type="gramEnd"/>
    </w:p>
    <w:p w:rsidR="007732DB" w:rsidRPr="00CA0B6F" w:rsidRDefault="007732DB" w:rsidP="007732D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732DB" w:rsidRPr="00CA0B6F" w:rsidRDefault="007732DB" w:rsidP="007732D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7732DB" w:rsidRPr="00686464" w:rsidRDefault="007732DB" w:rsidP="007732D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732DB" w:rsidRPr="00A43DEF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proofErr w:type="gramStart"/>
      <w:r w:rsidRPr="00CA0B6F">
        <w:rPr>
          <w:sz w:val="28"/>
          <w:szCs w:val="28"/>
        </w:rPr>
        <w:t>Настоящая Методика формирования рейтинговой оценки эффективности закупочной деятельности</w:t>
      </w:r>
      <w:r>
        <w:rPr>
          <w:sz w:val="28"/>
          <w:szCs w:val="28"/>
        </w:rPr>
        <w:t xml:space="preserve"> государственных заказчиков Воронежской области (далее – Методика) </w:t>
      </w:r>
      <w:r w:rsidRPr="00A43DEF">
        <w:rPr>
          <w:sz w:val="28"/>
          <w:szCs w:val="28"/>
        </w:rPr>
        <w:t xml:space="preserve">определяет порядок расчета и оценки значений показателей эффективности проведения закупок товаров, работ, услуг для обеспечения государственных нужд </w:t>
      </w:r>
      <w:r>
        <w:rPr>
          <w:sz w:val="28"/>
          <w:szCs w:val="28"/>
        </w:rPr>
        <w:t xml:space="preserve">Воронежской </w:t>
      </w:r>
      <w:r w:rsidRPr="00A43DEF">
        <w:rPr>
          <w:sz w:val="28"/>
          <w:szCs w:val="28"/>
        </w:rPr>
        <w:t xml:space="preserve">области (далее – закупки) </w:t>
      </w:r>
      <w:r>
        <w:rPr>
          <w:sz w:val="28"/>
          <w:szCs w:val="28"/>
        </w:rPr>
        <w:t xml:space="preserve">государственными </w:t>
      </w:r>
      <w:r w:rsidRPr="00A43DEF">
        <w:rPr>
          <w:sz w:val="28"/>
          <w:szCs w:val="28"/>
        </w:rPr>
        <w:t xml:space="preserve">заказчиками </w:t>
      </w:r>
      <w:r>
        <w:rPr>
          <w:sz w:val="28"/>
          <w:szCs w:val="28"/>
        </w:rPr>
        <w:t xml:space="preserve">Воронежской </w:t>
      </w:r>
      <w:r w:rsidRPr="00A43DEF">
        <w:rPr>
          <w:sz w:val="28"/>
          <w:szCs w:val="28"/>
        </w:rPr>
        <w:t xml:space="preserve">области с целью присвоения им </w:t>
      </w:r>
      <w:r>
        <w:rPr>
          <w:sz w:val="28"/>
          <w:szCs w:val="28"/>
        </w:rPr>
        <w:t xml:space="preserve">места в </w:t>
      </w:r>
      <w:r w:rsidRPr="00A43DEF">
        <w:rPr>
          <w:sz w:val="28"/>
          <w:szCs w:val="28"/>
        </w:rPr>
        <w:t>рейтинг</w:t>
      </w:r>
      <w:r>
        <w:rPr>
          <w:sz w:val="28"/>
          <w:szCs w:val="28"/>
        </w:rPr>
        <w:t>е</w:t>
      </w:r>
      <w:r w:rsidRPr="00A43DEF">
        <w:rPr>
          <w:sz w:val="28"/>
          <w:szCs w:val="28"/>
        </w:rPr>
        <w:t xml:space="preserve"> эффективности закупочной деятельности </w:t>
      </w:r>
      <w:r>
        <w:rPr>
          <w:sz w:val="28"/>
          <w:szCs w:val="28"/>
        </w:rPr>
        <w:t xml:space="preserve">государственных заказчиков Воронежской области </w:t>
      </w:r>
      <w:r w:rsidRPr="00A43DEF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A43DEF">
        <w:rPr>
          <w:sz w:val="28"/>
          <w:szCs w:val="28"/>
        </w:rPr>
        <w:t>– Рейтинг).</w:t>
      </w:r>
      <w:proofErr w:type="gramEnd"/>
    </w:p>
    <w:p w:rsidR="007732DB" w:rsidRPr="00A43DEF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Pr="00F04213">
        <w:rPr>
          <w:spacing w:val="-6"/>
          <w:sz w:val="28"/>
          <w:szCs w:val="28"/>
        </w:rPr>
        <w:t>Понятия и термины, используемые в настоящей Методике, определены Феде</w:t>
      </w:r>
      <w:r>
        <w:rPr>
          <w:spacing w:val="-6"/>
          <w:sz w:val="28"/>
          <w:szCs w:val="28"/>
        </w:rPr>
        <w:t xml:space="preserve">ральным законом от 05.04.2013 № 44-ФЗ «О </w:t>
      </w:r>
      <w:r w:rsidRPr="00F04213">
        <w:rPr>
          <w:spacing w:val="-6"/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</w:t>
      </w:r>
      <w:r>
        <w:rPr>
          <w:spacing w:val="-6"/>
          <w:sz w:val="28"/>
          <w:szCs w:val="28"/>
        </w:rPr>
        <w:t>ужд» (далее – Федеральный закон </w:t>
      </w:r>
      <w:r w:rsidRPr="00F04213">
        <w:rPr>
          <w:spacing w:val="-6"/>
          <w:sz w:val="28"/>
          <w:szCs w:val="28"/>
        </w:rPr>
        <w:t>№44-ФЗ).</w:t>
      </w:r>
    </w:p>
    <w:p w:rsidR="007732DB" w:rsidRPr="00CA0B6F" w:rsidRDefault="007732DB" w:rsidP="007732D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732DB" w:rsidRPr="00CA0B6F" w:rsidRDefault="007732DB" w:rsidP="007732D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A0B6F">
        <w:rPr>
          <w:sz w:val="28"/>
          <w:szCs w:val="28"/>
        </w:rPr>
        <w:t>2. Методика расчета показателей</w:t>
      </w:r>
      <w:r>
        <w:rPr>
          <w:sz w:val="28"/>
          <w:szCs w:val="28"/>
        </w:rPr>
        <w:t xml:space="preserve"> Рейтинга</w:t>
      </w:r>
    </w:p>
    <w:p w:rsidR="007732DB" w:rsidRPr="00CA0B6F" w:rsidRDefault="007732DB" w:rsidP="007732D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732DB" w:rsidRPr="00A43DEF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A43DE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A43DEF">
        <w:rPr>
          <w:sz w:val="28"/>
          <w:szCs w:val="28"/>
        </w:rPr>
        <w:t xml:space="preserve">Расчет Рейтинга </w:t>
      </w:r>
      <w:r>
        <w:rPr>
          <w:sz w:val="28"/>
          <w:szCs w:val="28"/>
        </w:rPr>
        <w:t xml:space="preserve">для государственных заказчиков </w:t>
      </w:r>
      <w:r>
        <w:rPr>
          <w:sz w:val="28"/>
          <w:szCs w:val="28"/>
          <w:lang w:val="en-US"/>
        </w:rPr>
        <w:t>I</w:t>
      </w:r>
      <w:r w:rsidRPr="00FD6A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категории </w:t>
      </w:r>
      <w:r w:rsidRPr="00A43DEF">
        <w:rPr>
          <w:sz w:val="28"/>
          <w:szCs w:val="28"/>
        </w:rPr>
        <w:t>осуществляется по следующим критериям:</w:t>
      </w:r>
    </w:p>
    <w:p w:rsidR="007732DB" w:rsidRPr="00A43DEF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A43DEF">
        <w:rPr>
          <w:sz w:val="28"/>
          <w:szCs w:val="28"/>
        </w:rPr>
        <w:t>эффективность планирования (К</w:t>
      </w:r>
      <w:proofErr w:type="gramStart"/>
      <w:r w:rsidRPr="00060831">
        <w:rPr>
          <w:sz w:val="28"/>
          <w:szCs w:val="28"/>
          <w:vertAlign w:val="subscript"/>
        </w:rPr>
        <w:t>1</w:t>
      </w:r>
      <w:proofErr w:type="gramEnd"/>
      <w:r w:rsidRPr="00A43DEF">
        <w:rPr>
          <w:sz w:val="28"/>
          <w:szCs w:val="28"/>
        </w:rPr>
        <w:t>);</w:t>
      </w:r>
    </w:p>
    <w:p w:rsidR="007732DB" w:rsidRPr="00A43DEF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A43DEF">
        <w:rPr>
          <w:sz w:val="28"/>
          <w:szCs w:val="28"/>
        </w:rPr>
        <w:t>эффективность определения поставщиков (К</w:t>
      </w:r>
      <w:proofErr w:type="gramStart"/>
      <w:r w:rsidRPr="00060831">
        <w:rPr>
          <w:sz w:val="28"/>
          <w:szCs w:val="28"/>
          <w:vertAlign w:val="subscript"/>
        </w:rPr>
        <w:t>2</w:t>
      </w:r>
      <w:proofErr w:type="gramEnd"/>
      <w:r w:rsidRPr="00A43DEF">
        <w:rPr>
          <w:sz w:val="28"/>
          <w:szCs w:val="28"/>
        </w:rPr>
        <w:t>);</w:t>
      </w:r>
    </w:p>
    <w:p w:rsidR="007732DB" w:rsidRPr="00A43DEF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Pr="00A43DEF">
        <w:rPr>
          <w:sz w:val="28"/>
          <w:szCs w:val="28"/>
        </w:rPr>
        <w:t>эффективность исполнения контрактов (К</w:t>
      </w:r>
      <w:r w:rsidRPr="00060831">
        <w:rPr>
          <w:sz w:val="28"/>
          <w:szCs w:val="28"/>
          <w:vertAlign w:val="subscript"/>
        </w:rPr>
        <w:t>3</w:t>
      </w:r>
      <w:r w:rsidRPr="00A43DEF">
        <w:rPr>
          <w:sz w:val="28"/>
          <w:szCs w:val="28"/>
        </w:rPr>
        <w:t>);</w:t>
      </w:r>
    </w:p>
    <w:p w:rsidR="007732DB" w:rsidRPr="00A43DEF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A43DEF">
        <w:rPr>
          <w:sz w:val="28"/>
          <w:szCs w:val="28"/>
        </w:rPr>
        <w:t>исполнение требований законодательства о закупках (К</w:t>
      </w:r>
      <w:proofErr w:type="gramStart"/>
      <w:r w:rsidRPr="00060831">
        <w:rPr>
          <w:sz w:val="28"/>
          <w:szCs w:val="28"/>
          <w:vertAlign w:val="subscript"/>
        </w:rPr>
        <w:t>4</w:t>
      </w:r>
      <w:proofErr w:type="gramEnd"/>
      <w:r w:rsidRPr="00A43DE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732D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Значения критериев</w:t>
      </w:r>
      <w:r w:rsidRPr="00607C95">
        <w:rPr>
          <w:sz w:val="28"/>
          <w:szCs w:val="28"/>
        </w:rPr>
        <w:t xml:space="preserve">, указанных </w:t>
      </w:r>
      <w:r>
        <w:rPr>
          <w:sz w:val="28"/>
          <w:szCs w:val="28"/>
        </w:rPr>
        <w:t xml:space="preserve">в </w:t>
      </w:r>
      <w:proofErr w:type="gramStart"/>
      <w:r w:rsidRPr="00607C95">
        <w:rPr>
          <w:sz w:val="28"/>
          <w:szCs w:val="28"/>
        </w:rPr>
        <w:t>пункте</w:t>
      </w:r>
      <w:proofErr w:type="gramEnd"/>
      <w:r w:rsidRPr="00607C95">
        <w:rPr>
          <w:sz w:val="28"/>
          <w:szCs w:val="28"/>
        </w:rPr>
        <w:t xml:space="preserve"> </w:t>
      </w:r>
      <w:r>
        <w:rPr>
          <w:sz w:val="28"/>
          <w:szCs w:val="28"/>
        </w:rPr>
        <w:t>2.1.</w:t>
      </w:r>
      <w:r w:rsidRPr="00607C95">
        <w:rPr>
          <w:sz w:val="28"/>
          <w:szCs w:val="28"/>
        </w:rPr>
        <w:t xml:space="preserve"> настоящей Методики,</w:t>
      </w:r>
      <w:r>
        <w:rPr>
          <w:sz w:val="28"/>
          <w:szCs w:val="28"/>
        </w:rPr>
        <w:t xml:space="preserve"> и показателей, необходимых для их расчета, определяю</w:t>
      </w:r>
      <w:r w:rsidRPr="00607C95">
        <w:rPr>
          <w:sz w:val="28"/>
          <w:szCs w:val="28"/>
        </w:rPr>
        <w:t>тся и оценива</w:t>
      </w:r>
      <w:r>
        <w:rPr>
          <w:sz w:val="28"/>
          <w:szCs w:val="28"/>
        </w:rPr>
        <w:t>ю</w:t>
      </w:r>
      <w:r w:rsidRPr="00607C95">
        <w:rPr>
          <w:sz w:val="28"/>
          <w:szCs w:val="28"/>
        </w:rPr>
        <w:t xml:space="preserve">тся по каждому </w:t>
      </w:r>
      <w:r>
        <w:rPr>
          <w:sz w:val="28"/>
          <w:szCs w:val="28"/>
        </w:rPr>
        <w:t xml:space="preserve">государственному </w:t>
      </w:r>
      <w:r w:rsidRPr="00607C95">
        <w:rPr>
          <w:sz w:val="28"/>
          <w:szCs w:val="28"/>
        </w:rPr>
        <w:t xml:space="preserve">заказчику области </w:t>
      </w:r>
      <w:r>
        <w:rPr>
          <w:sz w:val="28"/>
          <w:szCs w:val="28"/>
        </w:rPr>
        <w:t xml:space="preserve">за отчетный период </w:t>
      </w:r>
      <w:r w:rsidRPr="00607C95">
        <w:rPr>
          <w:sz w:val="28"/>
          <w:szCs w:val="28"/>
        </w:rPr>
        <w:t>в соответствии с приложением к настоящей Методике.</w:t>
      </w:r>
    </w:p>
    <w:p w:rsidR="007732D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A43DE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607C95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баллов, полученных государственными заказчиками области по каждому критерию в соответствии с пунктом 2.2. настоящей Методики, Управление</w:t>
      </w:r>
      <w:r w:rsidRPr="00607C95">
        <w:rPr>
          <w:sz w:val="28"/>
          <w:szCs w:val="28"/>
        </w:rPr>
        <w:t xml:space="preserve"> рассчитывает </w:t>
      </w:r>
      <w:r>
        <w:rPr>
          <w:sz w:val="28"/>
          <w:szCs w:val="28"/>
        </w:rPr>
        <w:t>оценки эффективности закупочной деятельности государственных заказчиков Воронежской области:</w:t>
      </w:r>
    </w:p>
    <w:p w:rsidR="007732D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для итогового годового Рейтинга государственных заказчиков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 категории (Р</w:t>
      </w:r>
      <w:proofErr w:type="gramStart"/>
      <w:r w:rsidRPr="001F525D"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bscript"/>
        </w:rPr>
        <w:t>-г</w:t>
      </w:r>
      <w:r w:rsidRPr="001F525D">
        <w:rPr>
          <w:sz w:val="28"/>
          <w:szCs w:val="28"/>
        </w:rPr>
        <w:t>)</w:t>
      </w:r>
      <w:r>
        <w:rPr>
          <w:sz w:val="28"/>
          <w:szCs w:val="28"/>
        </w:rPr>
        <w:t xml:space="preserve"> по формуле:</w:t>
      </w:r>
    </w:p>
    <w:p w:rsidR="007732DB" w:rsidRDefault="007732DB" w:rsidP="007732DB">
      <w:pPr>
        <w:spacing w:before="120" w:after="12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proofErr w:type="gramStart"/>
      <w:r w:rsidRPr="001F525D"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bscript"/>
        </w:rPr>
        <w:t>-г</w:t>
      </w:r>
      <w:r w:rsidRPr="00060831">
        <w:rPr>
          <w:sz w:val="28"/>
          <w:szCs w:val="28"/>
        </w:rPr>
        <w:t xml:space="preserve"> = К</w:t>
      </w:r>
      <w:r w:rsidRPr="00A26BE4">
        <w:rPr>
          <w:sz w:val="28"/>
          <w:szCs w:val="28"/>
          <w:vertAlign w:val="subscript"/>
        </w:rPr>
        <w:t>1г</w:t>
      </w:r>
      <w:r>
        <w:rPr>
          <w:sz w:val="28"/>
          <w:szCs w:val="28"/>
        </w:rPr>
        <w:t xml:space="preserve"> </w:t>
      </w:r>
      <w:r w:rsidRPr="00A26BE4"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0,3 + К</w:t>
      </w:r>
      <w:r w:rsidRPr="00A26BE4">
        <w:rPr>
          <w:sz w:val="28"/>
          <w:szCs w:val="28"/>
          <w:vertAlign w:val="subscript"/>
        </w:rPr>
        <w:t>2г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0,4 + К</w:t>
      </w:r>
      <w:r w:rsidRPr="00A26BE4">
        <w:rPr>
          <w:sz w:val="28"/>
          <w:szCs w:val="28"/>
          <w:vertAlign w:val="subscript"/>
        </w:rPr>
        <w:t>3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0,15 + К</w:t>
      </w:r>
      <w:r w:rsidRPr="00A26BE4">
        <w:rPr>
          <w:sz w:val="28"/>
          <w:szCs w:val="28"/>
          <w:vertAlign w:val="subscript"/>
        </w:rPr>
        <w:t>4г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(1)</w:t>
      </w:r>
    </w:p>
    <w:p w:rsidR="007732D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для итогового годового Рейтинга государственных заказчиков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 категории (Р</w:t>
      </w:r>
      <w:proofErr w:type="gramStart"/>
      <w:r w:rsidRPr="001F525D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bscript"/>
        </w:rPr>
        <w:t>-г</w:t>
      </w:r>
      <w:r w:rsidRPr="00EC79ED">
        <w:rPr>
          <w:sz w:val="28"/>
          <w:szCs w:val="28"/>
        </w:rPr>
        <w:t>)</w:t>
      </w:r>
      <w:r>
        <w:rPr>
          <w:sz w:val="28"/>
          <w:szCs w:val="28"/>
        </w:rPr>
        <w:t xml:space="preserve"> по формуле:</w:t>
      </w:r>
    </w:p>
    <w:p w:rsidR="007732DB" w:rsidRPr="00060831" w:rsidRDefault="007732DB" w:rsidP="007732DB">
      <w:pPr>
        <w:spacing w:before="120" w:after="12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1F525D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-г</w:t>
      </w:r>
      <w:r w:rsidRPr="00060831">
        <w:rPr>
          <w:sz w:val="28"/>
          <w:szCs w:val="28"/>
        </w:rPr>
        <w:t xml:space="preserve"> = П</w:t>
      </w:r>
      <w:proofErr w:type="gramStart"/>
      <w:r w:rsidRPr="00A26BE4">
        <w:rPr>
          <w:sz w:val="28"/>
          <w:szCs w:val="28"/>
          <w:vertAlign w:val="subscript"/>
        </w:rPr>
        <w:t>1</w:t>
      </w:r>
      <w:proofErr w:type="gramEnd"/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0,1 + П</w:t>
      </w:r>
      <w:r w:rsidRPr="00A26BE4">
        <w:rPr>
          <w:sz w:val="28"/>
          <w:szCs w:val="28"/>
          <w:vertAlign w:val="subscript"/>
        </w:rPr>
        <w:t>4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0,15 + П</w:t>
      </w:r>
      <w:r w:rsidRPr="00A26BE4">
        <w:rPr>
          <w:sz w:val="28"/>
          <w:szCs w:val="28"/>
          <w:vertAlign w:val="subscript"/>
        </w:rPr>
        <w:t>12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0,2 + П</w:t>
      </w:r>
      <w:r w:rsidRPr="00A26BE4">
        <w:rPr>
          <w:sz w:val="28"/>
          <w:szCs w:val="28"/>
          <w:vertAlign w:val="subscript"/>
        </w:rPr>
        <w:t>13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0,15 +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(2)</w:t>
      </w:r>
      <w:r>
        <w:rPr>
          <w:sz w:val="28"/>
          <w:szCs w:val="28"/>
        </w:rPr>
        <w:br/>
        <w:t xml:space="preserve">+ </w:t>
      </w:r>
      <w:r w:rsidRPr="00060831">
        <w:rPr>
          <w:sz w:val="28"/>
          <w:szCs w:val="28"/>
        </w:rPr>
        <w:t>П</w:t>
      </w:r>
      <w:r w:rsidRPr="00A26BE4">
        <w:rPr>
          <w:sz w:val="28"/>
          <w:szCs w:val="28"/>
          <w:vertAlign w:val="subscript"/>
        </w:rPr>
        <w:t>14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0,1 + П</w:t>
      </w:r>
      <w:r w:rsidRPr="00A26BE4">
        <w:rPr>
          <w:sz w:val="28"/>
          <w:szCs w:val="28"/>
          <w:vertAlign w:val="subscript"/>
        </w:rPr>
        <w:t>16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0,1 + П</w:t>
      </w:r>
      <w:r w:rsidRPr="00A26BE4">
        <w:rPr>
          <w:sz w:val="28"/>
          <w:szCs w:val="28"/>
          <w:vertAlign w:val="subscript"/>
        </w:rPr>
        <w:t>21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0,2</w:t>
      </w:r>
    </w:p>
    <w:p w:rsidR="007732D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для квартального Рейтинга государственных заказчиков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 категории (Р</w:t>
      </w:r>
      <w:proofErr w:type="gramStart"/>
      <w:r w:rsidRPr="001F525D"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bscript"/>
        </w:rPr>
        <w:t>-к</w:t>
      </w:r>
      <w:r w:rsidRPr="001F525D">
        <w:rPr>
          <w:sz w:val="28"/>
          <w:szCs w:val="28"/>
        </w:rPr>
        <w:t>)</w:t>
      </w:r>
      <w:r>
        <w:rPr>
          <w:sz w:val="28"/>
          <w:szCs w:val="28"/>
        </w:rPr>
        <w:t xml:space="preserve"> по формуле:</w:t>
      </w:r>
    </w:p>
    <w:p w:rsidR="007732DB" w:rsidRDefault="007732DB" w:rsidP="007732DB">
      <w:pPr>
        <w:spacing w:before="120" w:after="12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proofErr w:type="gramStart"/>
      <w:r w:rsidRPr="001F525D"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bscript"/>
        </w:rPr>
        <w:t>-к</w:t>
      </w:r>
      <w:r w:rsidRPr="00060831">
        <w:rPr>
          <w:sz w:val="28"/>
          <w:szCs w:val="28"/>
        </w:rPr>
        <w:t xml:space="preserve"> = К</w:t>
      </w:r>
      <w:r w:rsidRPr="00A26BE4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 xml:space="preserve"> </w:t>
      </w:r>
      <w:r w:rsidRPr="00A26BE4"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0,3 + К</w:t>
      </w:r>
      <w:r w:rsidRPr="00A26BE4"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</w:rPr>
        <w:t>к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0,4 + К</w:t>
      </w:r>
      <w:r w:rsidRPr="00A26BE4">
        <w:rPr>
          <w:sz w:val="28"/>
          <w:szCs w:val="28"/>
          <w:vertAlign w:val="subscript"/>
        </w:rPr>
        <w:t>3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0,15 + К</w:t>
      </w:r>
      <w:r w:rsidRPr="00A26BE4">
        <w:rPr>
          <w:sz w:val="28"/>
          <w:szCs w:val="28"/>
          <w:vertAlign w:val="subscript"/>
        </w:rPr>
        <w:t>4</w:t>
      </w:r>
      <w:r>
        <w:rPr>
          <w:sz w:val="28"/>
          <w:szCs w:val="28"/>
          <w:vertAlign w:val="subscript"/>
        </w:rPr>
        <w:t>к</w:t>
      </w:r>
      <w:r w:rsidRPr="00060831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060831">
        <w:rPr>
          <w:sz w:val="28"/>
          <w:szCs w:val="28"/>
        </w:rPr>
        <w:t xml:space="preserve"> 0,15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(3)</w:t>
      </w:r>
    </w:p>
    <w:p w:rsidR="007732D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для квартального Рейтинга государственных заказчиков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 категории (Р</w:t>
      </w:r>
      <w:proofErr w:type="gramStart"/>
      <w:r w:rsidRPr="001F525D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bscript"/>
        </w:rPr>
        <w:t>-п</w:t>
      </w:r>
      <w:r w:rsidRPr="001F525D">
        <w:rPr>
          <w:sz w:val="28"/>
          <w:szCs w:val="28"/>
        </w:rPr>
        <w:t>)</w:t>
      </w:r>
      <w:r>
        <w:rPr>
          <w:sz w:val="28"/>
          <w:szCs w:val="28"/>
        </w:rPr>
        <w:t xml:space="preserve"> по формуле:</w:t>
      </w:r>
    </w:p>
    <w:p w:rsidR="007732DB" w:rsidRPr="00A26BE4" w:rsidRDefault="007732DB" w:rsidP="007732DB">
      <w:pPr>
        <w:spacing w:before="120" w:after="120" w:line="360" w:lineRule="auto"/>
        <w:jc w:val="center"/>
        <w:rPr>
          <w:sz w:val="28"/>
          <w:szCs w:val="28"/>
        </w:rPr>
      </w:pPr>
      <w:r w:rsidRPr="00A26BE4">
        <w:rPr>
          <w:sz w:val="28"/>
          <w:szCs w:val="28"/>
        </w:rPr>
        <w:t>Р</w:t>
      </w:r>
      <w:r w:rsidRPr="00A26BE4">
        <w:rPr>
          <w:sz w:val="28"/>
          <w:szCs w:val="28"/>
          <w:vertAlign w:val="subscript"/>
          <w:lang w:val="en-US"/>
        </w:rPr>
        <w:t>II</w:t>
      </w:r>
      <w:r w:rsidRPr="00A26BE4">
        <w:rPr>
          <w:sz w:val="28"/>
          <w:szCs w:val="28"/>
          <w:vertAlign w:val="subscript"/>
        </w:rPr>
        <w:t>-</w:t>
      </w:r>
      <w:r>
        <w:rPr>
          <w:sz w:val="28"/>
          <w:szCs w:val="28"/>
          <w:vertAlign w:val="subscript"/>
        </w:rPr>
        <w:t>к</w:t>
      </w:r>
      <w:r w:rsidRPr="00A26BE4">
        <w:rPr>
          <w:sz w:val="28"/>
          <w:szCs w:val="28"/>
        </w:rPr>
        <w:t xml:space="preserve"> = П</w:t>
      </w:r>
      <w:proofErr w:type="gramStart"/>
      <w:r w:rsidRPr="00A26BE4">
        <w:rPr>
          <w:sz w:val="28"/>
          <w:szCs w:val="28"/>
          <w:vertAlign w:val="subscript"/>
        </w:rPr>
        <w:t>4</w:t>
      </w:r>
      <w:proofErr w:type="gramEnd"/>
      <w:r w:rsidRPr="00A26BE4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A26BE4">
        <w:rPr>
          <w:sz w:val="28"/>
          <w:szCs w:val="28"/>
        </w:rPr>
        <w:t xml:space="preserve"> 0,17 + П</w:t>
      </w:r>
      <w:r w:rsidRPr="00A26BE4">
        <w:rPr>
          <w:sz w:val="28"/>
          <w:szCs w:val="28"/>
          <w:vertAlign w:val="subscript"/>
        </w:rPr>
        <w:t>12</w:t>
      </w:r>
      <w:r w:rsidRPr="00A26BE4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A26BE4">
        <w:rPr>
          <w:sz w:val="28"/>
          <w:szCs w:val="28"/>
        </w:rPr>
        <w:t xml:space="preserve"> 0,22 + П</w:t>
      </w:r>
      <w:r w:rsidRPr="00A26BE4">
        <w:rPr>
          <w:sz w:val="28"/>
          <w:szCs w:val="28"/>
          <w:vertAlign w:val="subscript"/>
        </w:rPr>
        <w:t>13</w:t>
      </w:r>
      <w:r w:rsidRPr="00A26BE4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A26BE4">
        <w:rPr>
          <w:sz w:val="28"/>
          <w:szCs w:val="28"/>
        </w:rPr>
        <w:t xml:space="preserve"> 0,17 + П</w:t>
      </w:r>
      <w:r w:rsidRPr="00A26BE4">
        <w:rPr>
          <w:sz w:val="28"/>
          <w:szCs w:val="28"/>
          <w:vertAlign w:val="subscript"/>
        </w:rPr>
        <w:t>14</w:t>
      </w:r>
      <w:r w:rsidRPr="00A26BE4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A26BE4">
        <w:rPr>
          <w:sz w:val="28"/>
          <w:szCs w:val="28"/>
        </w:rPr>
        <w:t xml:space="preserve"> 0,11 + </w:t>
      </w:r>
      <w:r>
        <w:rPr>
          <w:sz w:val="28"/>
          <w:szCs w:val="28"/>
        </w:rPr>
        <w:tab/>
        <w:t>(4)</w:t>
      </w:r>
      <w:r>
        <w:rPr>
          <w:sz w:val="28"/>
          <w:szCs w:val="28"/>
        </w:rPr>
        <w:br/>
        <w:t xml:space="preserve">+ </w:t>
      </w:r>
      <w:r w:rsidRPr="00A26BE4">
        <w:rPr>
          <w:sz w:val="28"/>
          <w:szCs w:val="28"/>
        </w:rPr>
        <w:t>П</w:t>
      </w:r>
      <w:r w:rsidRPr="00A26BE4">
        <w:rPr>
          <w:sz w:val="28"/>
          <w:szCs w:val="28"/>
          <w:vertAlign w:val="subscript"/>
        </w:rPr>
        <w:t>16</w:t>
      </w:r>
      <w:r w:rsidRPr="00A26BE4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A26BE4">
        <w:rPr>
          <w:sz w:val="28"/>
          <w:szCs w:val="28"/>
        </w:rPr>
        <w:t xml:space="preserve"> 0,11 + П</w:t>
      </w:r>
      <w:r w:rsidRPr="00A26BE4">
        <w:rPr>
          <w:sz w:val="28"/>
          <w:szCs w:val="28"/>
          <w:vertAlign w:val="subscript"/>
        </w:rPr>
        <w:t>21</w:t>
      </w:r>
      <w:r w:rsidRPr="00A26BE4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A26BE4">
        <w:rPr>
          <w:sz w:val="28"/>
          <w:szCs w:val="28"/>
        </w:rPr>
        <w:t xml:space="preserve"> 0,22</w:t>
      </w:r>
    </w:p>
    <w:p w:rsidR="007732DB" w:rsidRDefault="007732DB" w:rsidP="007732DB">
      <w:pPr>
        <w:spacing w:line="360" w:lineRule="auto"/>
        <w:ind w:firstLine="709"/>
        <w:jc w:val="both"/>
        <w:rPr>
          <w:sz w:val="28"/>
          <w:szCs w:val="28"/>
        </w:rPr>
      </w:pPr>
    </w:p>
    <w:p w:rsidR="007732DB" w:rsidRDefault="007732DB" w:rsidP="007732DB">
      <w:pPr>
        <w:jc w:val="right"/>
        <w:rPr>
          <w:sz w:val="28"/>
          <w:szCs w:val="28"/>
        </w:rPr>
        <w:sectPr w:rsidR="007732DB" w:rsidSect="007732D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32DB" w:rsidRPr="00D83F90" w:rsidRDefault="007732DB" w:rsidP="007732DB">
      <w:pPr>
        <w:jc w:val="right"/>
        <w:rPr>
          <w:sz w:val="28"/>
          <w:szCs w:val="28"/>
        </w:rPr>
      </w:pPr>
      <w:r w:rsidRPr="00D83F90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</w:r>
      <w:r w:rsidRPr="00D83F90">
        <w:rPr>
          <w:sz w:val="28"/>
          <w:szCs w:val="28"/>
        </w:rPr>
        <w:t xml:space="preserve">к </w:t>
      </w:r>
      <w:r w:rsidR="008559BA">
        <w:rPr>
          <w:sz w:val="28"/>
          <w:szCs w:val="28"/>
        </w:rPr>
        <w:t>М</w:t>
      </w:r>
      <w:r>
        <w:rPr>
          <w:sz w:val="28"/>
          <w:szCs w:val="28"/>
        </w:rPr>
        <w:t xml:space="preserve">етодике </w:t>
      </w:r>
      <w:r>
        <w:rPr>
          <w:sz w:val="28"/>
          <w:szCs w:val="28"/>
        </w:rPr>
        <w:br/>
      </w:r>
      <w:proofErr w:type="gramStart"/>
      <w:r w:rsidRPr="00F52C8B">
        <w:rPr>
          <w:sz w:val="28"/>
          <w:szCs w:val="28"/>
        </w:rPr>
        <w:t xml:space="preserve">формирования рейтинговой оценки </w:t>
      </w:r>
      <w:r>
        <w:rPr>
          <w:sz w:val="28"/>
          <w:szCs w:val="28"/>
        </w:rPr>
        <w:br/>
      </w:r>
      <w:r w:rsidRPr="00F52C8B">
        <w:rPr>
          <w:sz w:val="28"/>
          <w:szCs w:val="28"/>
        </w:rPr>
        <w:t>эффективности закупочной деятельности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52C8B">
        <w:rPr>
          <w:sz w:val="28"/>
          <w:szCs w:val="28"/>
        </w:rPr>
        <w:t xml:space="preserve"> государственных заказчиков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</w:t>
      </w:r>
      <w:r w:rsidRPr="00F52C8B">
        <w:rPr>
          <w:sz w:val="28"/>
          <w:szCs w:val="28"/>
        </w:rPr>
        <w:t>оронежской области</w:t>
      </w:r>
    </w:p>
    <w:p w:rsidR="007732DB" w:rsidRDefault="007732DB" w:rsidP="007732DB">
      <w:pPr>
        <w:jc w:val="right"/>
        <w:rPr>
          <w:sz w:val="28"/>
          <w:szCs w:val="28"/>
        </w:rPr>
      </w:pPr>
    </w:p>
    <w:p w:rsidR="007732DB" w:rsidRDefault="007732DB" w:rsidP="007732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Показатели и критерии </w:t>
      </w:r>
      <w:r w:rsidRPr="00F52C8B">
        <w:rPr>
          <w:sz w:val="28"/>
          <w:szCs w:val="28"/>
        </w:rPr>
        <w:t>рейтинговой оценки эффективности закупочной деятельности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52C8B">
        <w:rPr>
          <w:sz w:val="28"/>
          <w:szCs w:val="28"/>
        </w:rPr>
        <w:t>государственных заказчиков</w:t>
      </w:r>
      <w:r>
        <w:rPr>
          <w:sz w:val="28"/>
          <w:szCs w:val="28"/>
        </w:rPr>
        <w:t xml:space="preserve"> В</w:t>
      </w:r>
      <w:r w:rsidRPr="00F52C8B">
        <w:rPr>
          <w:sz w:val="28"/>
          <w:szCs w:val="28"/>
        </w:rPr>
        <w:t>оронежской области</w:t>
      </w:r>
    </w:p>
    <w:p w:rsidR="007732DB" w:rsidRPr="00D83F90" w:rsidRDefault="007732DB" w:rsidP="007732DB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9"/>
        <w:gridCol w:w="7275"/>
        <w:gridCol w:w="2064"/>
        <w:gridCol w:w="1848"/>
      </w:tblGrid>
      <w:tr w:rsidR="007732DB" w:rsidRPr="00BF1592" w:rsidTr="00B64736">
        <w:tc>
          <w:tcPr>
            <w:tcW w:w="1217" w:type="pct"/>
            <w:shd w:val="clear" w:color="auto" w:fill="auto"/>
            <w:vAlign w:val="center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 xml:space="preserve">Наименование </w:t>
            </w:r>
            <w:r w:rsidRPr="00224D35">
              <w:br/>
              <w:t>показателя</w:t>
            </w:r>
          </w:p>
        </w:tc>
        <w:tc>
          <w:tcPr>
            <w:tcW w:w="2460" w:type="pct"/>
            <w:shd w:val="clear" w:color="auto" w:fill="auto"/>
            <w:vAlign w:val="center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Расчет показателя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Критерий оценки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Балл</w:t>
            </w:r>
          </w:p>
        </w:tc>
      </w:tr>
      <w:tr w:rsidR="007732DB" w:rsidRPr="00BF1592" w:rsidTr="00B64736">
        <w:tc>
          <w:tcPr>
            <w:tcW w:w="1217" w:type="pct"/>
            <w:shd w:val="clear" w:color="auto" w:fill="auto"/>
            <w:vAlign w:val="center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</w:t>
            </w:r>
          </w:p>
        </w:tc>
        <w:tc>
          <w:tcPr>
            <w:tcW w:w="2460" w:type="pct"/>
            <w:shd w:val="clear" w:color="auto" w:fill="auto"/>
            <w:vAlign w:val="center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2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4</w:t>
            </w:r>
          </w:p>
        </w:tc>
      </w:tr>
      <w:tr w:rsidR="007732DB" w:rsidRPr="00BF1592" w:rsidTr="00B64736">
        <w:tc>
          <w:tcPr>
            <w:tcW w:w="5000" w:type="pct"/>
            <w:gridSpan w:val="4"/>
            <w:shd w:val="clear" w:color="auto" w:fill="auto"/>
            <w:vAlign w:val="center"/>
          </w:tcPr>
          <w:p w:rsidR="007732DB" w:rsidRDefault="007732DB" w:rsidP="00B64736">
            <w:pPr>
              <w:contextualSpacing/>
              <w:mirrorIndents/>
              <w:jc w:val="center"/>
            </w:pPr>
            <w:r w:rsidRPr="00E90A27">
              <w:t>К</w:t>
            </w:r>
            <w:r w:rsidRPr="00E90A27">
              <w:rPr>
                <w:vertAlign w:val="subscript"/>
              </w:rPr>
              <w:t>1г</w:t>
            </w:r>
            <w:r w:rsidRPr="00224D35">
              <w:t>. Эффективность планирования</w:t>
            </w:r>
            <w:r>
              <w:t xml:space="preserve"> (годовая):</w:t>
            </w:r>
          </w:p>
          <w:p w:rsidR="007732DB" w:rsidRDefault="007732DB" w:rsidP="00B64736">
            <w:pPr>
              <w:contextualSpacing/>
              <w:mirrorIndents/>
              <w:jc w:val="center"/>
            </w:pPr>
            <w:r w:rsidRPr="00E90A27">
              <w:t>К</w:t>
            </w:r>
            <w:r w:rsidRPr="00E90A27">
              <w:rPr>
                <w:vertAlign w:val="subscript"/>
              </w:rPr>
              <w:t>1г</w:t>
            </w:r>
            <w:r w:rsidRPr="00E90A27">
              <w:t xml:space="preserve"> = П</w:t>
            </w:r>
            <w:proofErr w:type="gramStart"/>
            <w:r w:rsidRPr="00FC09BE">
              <w:rPr>
                <w:vertAlign w:val="subscript"/>
              </w:rPr>
              <w:t>1</w:t>
            </w:r>
            <w:proofErr w:type="gramEnd"/>
            <w:r w:rsidRPr="00E90A27">
              <w:t xml:space="preserve"> × 0,15 + П</w:t>
            </w:r>
            <w:r w:rsidRPr="00FC09BE">
              <w:rPr>
                <w:vertAlign w:val="subscript"/>
              </w:rPr>
              <w:t>2</w:t>
            </w:r>
            <w:r w:rsidRPr="00E90A27">
              <w:t xml:space="preserve"> × 0,2 + П</w:t>
            </w:r>
            <w:r w:rsidRPr="00FC09BE">
              <w:rPr>
                <w:vertAlign w:val="subscript"/>
              </w:rPr>
              <w:t>3</w:t>
            </w:r>
            <w:r w:rsidRPr="00E90A27">
              <w:t xml:space="preserve"> × 0,2 + П</w:t>
            </w:r>
            <w:r w:rsidRPr="00FC09BE">
              <w:rPr>
                <w:vertAlign w:val="subscript"/>
              </w:rPr>
              <w:t>4</w:t>
            </w:r>
            <w:r w:rsidRPr="00E90A27">
              <w:t xml:space="preserve"> × 0,2 + П</w:t>
            </w:r>
            <w:r w:rsidRPr="00FC09BE">
              <w:rPr>
                <w:vertAlign w:val="subscript"/>
              </w:rPr>
              <w:t>5</w:t>
            </w:r>
            <w:r w:rsidRPr="00E90A27">
              <w:t xml:space="preserve"> × 0,25</w:t>
            </w:r>
          </w:p>
          <w:p w:rsidR="007732DB" w:rsidRDefault="007732DB" w:rsidP="00B64736">
            <w:pPr>
              <w:contextualSpacing/>
              <w:mirrorIndents/>
              <w:jc w:val="center"/>
            </w:pPr>
            <w:r w:rsidRPr="00E90A27">
              <w:t>К</w:t>
            </w:r>
            <w:r w:rsidRPr="00E90A27">
              <w:rPr>
                <w:vertAlign w:val="subscript"/>
              </w:rPr>
              <w:t>1</w:t>
            </w:r>
            <w:r>
              <w:rPr>
                <w:vertAlign w:val="subscript"/>
              </w:rPr>
              <w:t>к</w:t>
            </w:r>
            <w:r w:rsidRPr="00224D35">
              <w:t>. Эффективность планирования</w:t>
            </w:r>
            <w:r>
              <w:t xml:space="preserve"> (квартальная):</w:t>
            </w:r>
          </w:p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E90A27">
              <w:t>К</w:t>
            </w:r>
            <w:r w:rsidRPr="00E90A27">
              <w:rPr>
                <w:vertAlign w:val="subscript"/>
              </w:rPr>
              <w:t>1</w:t>
            </w:r>
            <w:r>
              <w:rPr>
                <w:vertAlign w:val="subscript"/>
              </w:rPr>
              <w:t>к</w:t>
            </w:r>
            <w:r w:rsidRPr="00E90A27">
              <w:t xml:space="preserve"> = П</w:t>
            </w:r>
            <w:proofErr w:type="gramStart"/>
            <w:r w:rsidRPr="00FC09BE">
              <w:rPr>
                <w:vertAlign w:val="subscript"/>
              </w:rPr>
              <w:t>2</w:t>
            </w:r>
            <w:proofErr w:type="gramEnd"/>
            <w:r w:rsidRPr="00E90A27">
              <w:t xml:space="preserve"> </w:t>
            </w:r>
            <w:r>
              <w:t>×</w:t>
            </w:r>
            <w:r w:rsidRPr="00E90A27">
              <w:t xml:space="preserve"> 0,3 + П</w:t>
            </w:r>
            <w:r w:rsidRPr="00FC09BE">
              <w:rPr>
                <w:vertAlign w:val="subscript"/>
              </w:rPr>
              <w:t>4</w:t>
            </w:r>
            <w:r w:rsidRPr="00E90A27">
              <w:t xml:space="preserve"> </w:t>
            </w:r>
            <w:r>
              <w:t>×</w:t>
            </w:r>
            <w:r w:rsidRPr="00E90A27">
              <w:t xml:space="preserve"> 0,3 + П</w:t>
            </w:r>
            <w:r w:rsidRPr="00FC09BE">
              <w:rPr>
                <w:vertAlign w:val="subscript"/>
              </w:rPr>
              <w:t>5</w:t>
            </w:r>
            <w:r w:rsidRPr="00E90A27">
              <w:t xml:space="preserve"> </w:t>
            </w:r>
            <w:r>
              <w:t>×</w:t>
            </w:r>
            <w:r w:rsidRPr="00E90A27">
              <w:t xml:space="preserve"> 0,4</w:t>
            </w:r>
          </w:p>
        </w:tc>
      </w:tr>
      <w:tr w:rsidR="007732DB" w:rsidRPr="00BF1592" w:rsidTr="00B64736">
        <w:trPr>
          <w:trHeight w:val="547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proofErr w:type="gramStart"/>
            <w:r w:rsidRPr="00E90A27">
              <w:rPr>
                <w:vertAlign w:val="subscript"/>
              </w:rPr>
              <w:t>1</w:t>
            </w:r>
            <w:proofErr w:type="gramEnd"/>
            <w:r w:rsidRPr="00224D35">
              <w:t>. Своевременность публикации</w:t>
            </w:r>
            <w:r>
              <w:t xml:space="preserve"> заказчиками </w:t>
            </w:r>
            <w:r w:rsidRPr="00224D35">
              <w:t>планов-графиков в ЕИС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rPr>
                <w:lang w:val="en-US"/>
              </w:rPr>
              <w:t>N</w:t>
            </w:r>
            <w:r w:rsidRPr="00196E84">
              <w:rPr>
                <w:vertAlign w:val="subscript"/>
              </w:rPr>
              <w:t>1</w:t>
            </w:r>
            <w:r>
              <w:t xml:space="preserve"> - ф</w:t>
            </w:r>
            <w:r w:rsidRPr="00224D35">
              <w:t>актическая дата публикации плана-графика в ЕИС;</w:t>
            </w:r>
          </w:p>
          <w:p w:rsidR="007732DB" w:rsidRPr="00224D35" w:rsidRDefault="007732DB" w:rsidP="00B64736">
            <w:pPr>
              <w:contextualSpacing/>
              <w:mirrorIndents/>
            </w:pPr>
            <w:r w:rsidRPr="00224D35">
              <w:rPr>
                <w:lang w:val="en-US"/>
              </w:rPr>
              <w:t>N</w:t>
            </w:r>
            <w:r w:rsidRPr="00196E84">
              <w:rPr>
                <w:vertAlign w:val="subscript"/>
              </w:rPr>
              <w:t>2</w:t>
            </w:r>
            <w:r>
              <w:t xml:space="preserve"> - к</w:t>
            </w:r>
            <w:r w:rsidRPr="00224D35">
              <w:t>райняя допустимая дата публикации плана-графика в ЕИС;</w:t>
            </w: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  <w:rPr>
                <w:lang w:val="en-US"/>
              </w:rPr>
            </w:pPr>
            <w:r w:rsidRPr="00224D35">
              <w:rPr>
                <w:lang w:val="en-US"/>
              </w:rPr>
              <w:t>N</w:t>
            </w:r>
            <w:r w:rsidRPr="00196E84">
              <w:rPr>
                <w:vertAlign w:val="subscript"/>
                <w:lang w:val="en-US"/>
              </w:rPr>
              <w:t>1</w:t>
            </w:r>
            <w:r w:rsidRPr="00224D35">
              <w:rPr>
                <w:lang w:val="en-US"/>
              </w:rPr>
              <w:t xml:space="preserve"> </w:t>
            </w:r>
            <w:r w:rsidRPr="00224D35">
              <w:t>≤</w:t>
            </w:r>
            <w:r w:rsidRPr="00224D35">
              <w:rPr>
                <w:lang w:val="en-US"/>
              </w:rPr>
              <w:t xml:space="preserve"> N</w:t>
            </w:r>
            <w:r w:rsidRPr="00196E84">
              <w:rPr>
                <w:vertAlign w:val="subscript"/>
                <w:lang w:val="en-US"/>
              </w:rPr>
              <w:t>2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  <w:rPr>
                <w:lang w:val="en-US"/>
              </w:rPr>
            </w:pPr>
            <w:r w:rsidRPr="00224D35">
              <w:rPr>
                <w:lang w:val="en-US"/>
              </w:rPr>
              <w:t>100</w:t>
            </w:r>
          </w:p>
        </w:tc>
      </w:tr>
      <w:tr w:rsidR="007732DB" w:rsidRPr="00BF1592" w:rsidTr="00B64736">
        <w:trPr>
          <w:trHeight w:val="547"/>
        </w:trPr>
        <w:tc>
          <w:tcPr>
            <w:tcW w:w="121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tcBorders>
              <w:bottom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  <w:rPr>
                <w:lang w:val="en-US"/>
              </w:rPr>
            </w:pPr>
            <w:r w:rsidRPr="00224D35">
              <w:rPr>
                <w:lang w:val="en-US"/>
              </w:rPr>
              <w:t>N</w:t>
            </w:r>
            <w:r w:rsidRPr="00196E84">
              <w:rPr>
                <w:vertAlign w:val="subscript"/>
                <w:lang w:val="en-US"/>
              </w:rPr>
              <w:t>1</w:t>
            </w:r>
            <w:r w:rsidRPr="00224D35">
              <w:rPr>
                <w:lang w:val="en-US"/>
              </w:rPr>
              <w:t xml:space="preserve"> &gt; N</w:t>
            </w:r>
            <w:r w:rsidRPr="00196E84">
              <w:rPr>
                <w:vertAlign w:val="subscript"/>
                <w:lang w:val="en-US"/>
              </w:rPr>
              <w:t>2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  <w:rPr>
                <w:lang w:val="en-US"/>
              </w:rPr>
            </w:pPr>
            <w:r w:rsidRPr="00224D35">
              <w:rPr>
                <w:lang w:val="en-US"/>
              </w:rPr>
              <w:t>0</w:t>
            </w:r>
          </w:p>
        </w:tc>
      </w:tr>
      <w:tr w:rsidR="007732DB" w:rsidRPr="00BF1592" w:rsidTr="00B64736">
        <w:trPr>
          <w:trHeight w:val="928"/>
        </w:trPr>
        <w:tc>
          <w:tcPr>
            <w:tcW w:w="1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proofErr w:type="gramStart"/>
            <w:r w:rsidRPr="00E90A27">
              <w:rPr>
                <w:vertAlign w:val="subscript"/>
              </w:rPr>
              <w:t>2</w:t>
            </w:r>
            <w:proofErr w:type="gramEnd"/>
            <w:r w:rsidRPr="00224D35">
              <w:t>. Полнота формирования плана-графика на этапе его первоначального размещения в ЕИС</w:t>
            </w:r>
          </w:p>
        </w:tc>
        <w:tc>
          <w:tcPr>
            <w:tcW w:w="2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2</w:t>
            </w:r>
            <w:proofErr w:type="gramEnd"/>
            <w:r w:rsidRPr="00224D35">
              <w:t xml:space="preserve"> = N</w:t>
            </w:r>
            <w:r w:rsidRPr="00196E84">
              <w:rPr>
                <w:vertAlign w:val="subscript"/>
              </w:rPr>
              <w:t>3</w:t>
            </w:r>
            <w:r w:rsidRPr="00224D35">
              <w:t xml:space="preserve"> / N</w:t>
            </w:r>
            <w:r w:rsidRPr="00196E84">
              <w:rPr>
                <w:vertAlign w:val="subscript"/>
              </w:rPr>
              <w:t>4</w:t>
            </w:r>
            <w:r w:rsidRPr="00224D35">
              <w:t>, где</w:t>
            </w:r>
          </w:p>
          <w:p w:rsidR="007732DB" w:rsidRPr="00224D35" w:rsidRDefault="007732DB" w:rsidP="00B64736">
            <w:pPr>
              <w:contextualSpacing/>
              <w:mirrorIndents/>
            </w:pPr>
            <w:r w:rsidRPr="00224D35">
              <w:rPr>
                <w:lang w:val="en-US"/>
              </w:rPr>
              <w:t>N</w:t>
            </w:r>
            <w:r w:rsidRPr="00196E84">
              <w:rPr>
                <w:vertAlign w:val="subscript"/>
              </w:rPr>
              <w:t>3</w:t>
            </w:r>
            <w:r w:rsidRPr="00224D35">
              <w:t xml:space="preserve"> - количество позиций в плане-графике на начало года, по которым публикуется извещение о закупке, </w:t>
            </w:r>
            <w:proofErr w:type="gramStart"/>
            <w:r w:rsidRPr="00224D35">
              <w:t>ед.;</w:t>
            </w:r>
            <w:proofErr w:type="gramEnd"/>
          </w:p>
          <w:p w:rsidR="007732DB" w:rsidRPr="00224D35" w:rsidRDefault="007732DB" w:rsidP="00B64736">
            <w:pPr>
              <w:contextualSpacing/>
              <w:mirrorIndents/>
            </w:pPr>
            <w:r w:rsidRPr="00224D35">
              <w:rPr>
                <w:lang w:val="en-US"/>
              </w:rPr>
              <w:t>N</w:t>
            </w:r>
            <w:r w:rsidRPr="00196E84">
              <w:rPr>
                <w:vertAlign w:val="subscript"/>
              </w:rPr>
              <w:t>4</w:t>
            </w:r>
            <w:r w:rsidRPr="00224D35">
              <w:t xml:space="preserve"> - </w:t>
            </w:r>
            <w:r>
              <w:t>к</w:t>
            </w:r>
            <w:r w:rsidRPr="00991E96">
              <w:t xml:space="preserve">оличество позиций в плане-графике на последнюю отчетную дату, по которым </w:t>
            </w:r>
            <w:r>
              <w:t>публикуется извещение о закупке</w:t>
            </w:r>
            <w:r w:rsidRPr="00991E96">
              <w:t xml:space="preserve"> за исключением позиций, добавленных по объективным причинам (образовавшаяся экономия, изменение </w:t>
            </w:r>
            <w:r>
              <w:t>финансирования</w:t>
            </w:r>
            <w:r w:rsidRPr="00991E96">
              <w:t>, технические сбои)</w:t>
            </w:r>
            <w:r w:rsidRPr="00224D35">
              <w:t xml:space="preserve">, </w:t>
            </w:r>
            <w:proofErr w:type="gramStart"/>
            <w:r w:rsidRPr="00224D35">
              <w:t>ед.;</w:t>
            </w:r>
            <w:proofErr w:type="gramEnd"/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991E96">
              <w:t>П</w:t>
            </w:r>
            <w:proofErr w:type="gramStart"/>
            <w:r w:rsidRPr="00196E84">
              <w:rPr>
                <w:vertAlign w:val="subscript"/>
              </w:rPr>
              <w:t>2</w:t>
            </w:r>
            <w:proofErr w:type="gramEnd"/>
            <w:r w:rsidRPr="00991E96">
              <w:t xml:space="preserve"> ≤ 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991E96">
              <w:t>П</w:t>
            </w:r>
            <w:proofErr w:type="gramStart"/>
            <w:r w:rsidRPr="00196E84">
              <w:rPr>
                <w:vertAlign w:val="subscript"/>
              </w:rPr>
              <w:t>2</w:t>
            </w:r>
            <w:proofErr w:type="gramEnd"/>
            <w:r w:rsidRPr="00991E96">
              <w:t xml:space="preserve"> × 100.</w:t>
            </w:r>
          </w:p>
        </w:tc>
      </w:tr>
      <w:tr w:rsidR="007732DB" w:rsidRPr="00BF1592" w:rsidTr="00B64736">
        <w:trPr>
          <w:trHeight w:val="928"/>
        </w:trPr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>
              <w:t>1</w:t>
            </w:r>
            <w:r w:rsidRPr="00224D35">
              <w:t xml:space="preserve"> </w:t>
            </w:r>
            <w:r w:rsidRPr="00991E96">
              <w:t xml:space="preserve">&lt; </w:t>
            </w:r>
            <w:r w:rsidRPr="00224D35">
              <w:t>П</w:t>
            </w:r>
            <w:proofErr w:type="gramStart"/>
            <w:r w:rsidRPr="00833818">
              <w:rPr>
                <w:vertAlign w:val="subscript"/>
              </w:rPr>
              <w:t>2</w:t>
            </w:r>
            <w:proofErr w:type="gramEnd"/>
            <w:r>
              <w:t xml:space="preserve"> ≤ 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991E96">
              <w:t>(2 - П</w:t>
            </w:r>
            <w:proofErr w:type="gramStart"/>
            <w:r w:rsidRPr="00833818">
              <w:rPr>
                <w:vertAlign w:val="subscript"/>
              </w:rPr>
              <w:t>2</w:t>
            </w:r>
            <w:proofErr w:type="gramEnd"/>
            <w:r w:rsidRPr="00991E96">
              <w:t>) × 100</w:t>
            </w:r>
          </w:p>
        </w:tc>
      </w:tr>
      <w:tr w:rsidR="007732DB" w:rsidRPr="00BF1592" w:rsidTr="00B64736">
        <w:trPr>
          <w:trHeight w:val="928"/>
        </w:trPr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>
              <w:t>П</w:t>
            </w:r>
            <w:proofErr w:type="gramStart"/>
            <w:r w:rsidRPr="00833818">
              <w:rPr>
                <w:vertAlign w:val="subscript"/>
              </w:rPr>
              <w:t>2</w:t>
            </w:r>
            <w:proofErr w:type="gramEnd"/>
            <w:r>
              <w:t xml:space="preserve"> </w:t>
            </w:r>
            <w:r w:rsidRPr="00991E96">
              <w:t>&gt; 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>
              <w:t>0</w:t>
            </w:r>
          </w:p>
        </w:tc>
      </w:tr>
      <w:tr w:rsidR="007732DB" w:rsidRPr="00BF1592" w:rsidTr="00B64736">
        <w:trPr>
          <w:trHeight w:val="637"/>
        </w:trPr>
        <w:tc>
          <w:tcPr>
            <w:tcW w:w="121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lastRenderedPageBreak/>
              <w:t>П</w:t>
            </w:r>
            <w:r w:rsidRPr="00E90A27">
              <w:rPr>
                <w:vertAlign w:val="subscript"/>
              </w:rPr>
              <w:t>3</w:t>
            </w:r>
            <w:r w:rsidRPr="00224D35">
              <w:t>. Планомерность закупок заказчиков</w:t>
            </w:r>
          </w:p>
        </w:tc>
        <w:tc>
          <w:tcPr>
            <w:tcW w:w="246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196E84">
              <w:rPr>
                <w:vertAlign w:val="subscript"/>
              </w:rPr>
              <w:t>3</w:t>
            </w:r>
            <w:r w:rsidRPr="00224D35">
              <w:t xml:space="preserve"> = N</w:t>
            </w:r>
            <w:r w:rsidRPr="00196E84">
              <w:rPr>
                <w:vertAlign w:val="subscript"/>
              </w:rPr>
              <w:t>5</w:t>
            </w:r>
            <w:r w:rsidRPr="00224D35">
              <w:t xml:space="preserve"> / N</w:t>
            </w:r>
            <w:r w:rsidRPr="00196E84">
              <w:rPr>
                <w:vertAlign w:val="subscript"/>
              </w:rPr>
              <w:t>6</w:t>
            </w:r>
            <w:r w:rsidRPr="00224D35">
              <w:t>, где</w:t>
            </w:r>
          </w:p>
          <w:p w:rsidR="007732DB" w:rsidRPr="00224D35" w:rsidRDefault="007732DB" w:rsidP="00B64736">
            <w:pPr>
              <w:contextualSpacing/>
              <w:mirrorIndents/>
            </w:pPr>
            <w:r w:rsidRPr="00224D35">
              <w:rPr>
                <w:lang w:val="en-US"/>
              </w:rPr>
              <w:t>N</w:t>
            </w:r>
            <w:r w:rsidRPr="00196E84">
              <w:rPr>
                <w:vertAlign w:val="subscript"/>
              </w:rPr>
              <w:t>5</w:t>
            </w:r>
            <w:r w:rsidRPr="00224D35">
              <w:t xml:space="preserve"> - стоимость контрактов,</w:t>
            </w:r>
            <w:r>
              <w:t xml:space="preserve"> заключенных и исполненных в IV </w:t>
            </w:r>
            <w:r w:rsidRPr="00224D35">
              <w:t xml:space="preserve">квартале года по результатам </w:t>
            </w:r>
            <w:r>
              <w:t xml:space="preserve">проведения </w:t>
            </w:r>
            <w:r w:rsidRPr="00224D35">
              <w:t xml:space="preserve">конкурентных закупок, </w:t>
            </w:r>
            <w:r>
              <w:t>тыс. руб.</w:t>
            </w:r>
            <w:r w:rsidRPr="00224D35">
              <w:t>;</w:t>
            </w:r>
          </w:p>
          <w:p w:rsidR="007732DB" w:rsidRDefault="007732DB" w:rsidP="00B64736">
            <w:pPr>
              <w:contextualSpacing/>
              <w:mirrorIndents/>
            </w:pPr>
            <w:r w:rsidRPr="00224D35">
              <w:rPr>
                <w:lang w:val="en-US"/>
              </w:rPr>
              <w:t>N</w:t>
            </w:r>
            <w:r w:rsidRPr="00196E84">
              <w:rPr>
                <w:vertAlign w:val="subscript"/>
              </w:rPr>
              <w:t>6</w:t>
            </w:r>
            <w:r w:rsidRPr="00224D35">
              <w:t xml:space="preserve"> - стоимость контрактов, заключенных в отчетном </w:t>
            </w:r>
            <w:r>
              <w:t xml:space="preserve">периоде </w:t>
            </w:r>
            <w:r w:rsidRPr="00224D35">
              <w:t xml:space="preserve">по результатам </w:t>
            </w:r>
            <w:r>
              <w:t xml:space="preserve">проведения </w:t>
            </w:r>
            <w:r w:rsidRPr="00224D35">
              <w:t xml:space="preserve">конкурентных закупок, </w:t>
            </w:r>
            <w:r>
              <w:t>тыс. руб.</w:t>
            </w:r>
            <w:r w:rsidRPr="00224D35">
              <w:t>;</w:t>
            </w:r>
          </w:p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tcBorders>
              <w:top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196E84">
              <w:rPr>
                <w:vertAlign w:val="subscript"/>
              </w:rPr>
              <w:t>3</w:t>
            </w:r>
            <w:r w:rsidRPr="00224D35">
              <w:t xml:space="preserve"> ≤</w:t>
            </w:r>
            <w:r w:rsidRPr="00224D35">
              <w:rPr>
                <w:lang w:val="en-US"/>
              </w:rPr>
              <w:t xml:space="preserve"> </w:t>
            </w:r>
            <w:r w:rsidRPr="00224D35">
              <w:t>0,32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637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rPr>
                <w:lang w:val="en-US"/>
              </w:rPr>
              <w:t>0</w:t>
            </w:r>
            <w:r w:rsidRPr="00224D35">
              <w:t>,</w:t>
            </w:r>
            <w:r w:rsidRPr="00224D35">
              <w:rPr>
                <w:lang w:val="en-US"/>
              </w:rPr>
              <w:t>32</w:t>
            </w:r>
            <w:r w:rsidRPr="00224D35">
              <w:t xml:space="preserve"> </w:t>
            </w:r>
            <w:r w:rsidRPr="00224D35">
              <w:rPr>
                <w:lang w:val="en-US"/>
              </w:rPr>
              <w:t xml:space="preserve">&lt; </w:t>
            </w:r>
            <w:r w:rsidRPr="00224D35">
              <w:t>П</w:t>
            </w:r>
            <w:r w:rsidRPr="00196E84">
              <w:rPr>
                <w:vertAlign w:val="subscript"/>
              </w:rPr>
              <w:t>3</w:t>
            </w:r>
            <w:r w:rsidRPr="00224D35">
              <w:t xml:space="preserve"> ≤ 0,4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50</w:t>
            </w:r>
          </w:p>
        </w:tc>
      </w:tr>
      <w:tr w:rsidR="007732DB" w:rsidRPr="00BF1592" w:rsidTr="00B64736">
        <w:trPr>
          <w:trHeight w:val="638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196E84">
              <w:rPr>
                <w:vertAlign w:val="subscript"/>
              </w:rPr>
              <w:t>3</w:t>
            </w:r>
            <w:r w:rsidRPr="00224D35">
              <w:t xml:space="preserve"> </w:t>
            </w:r>
            <w:r w:rsidRPr="00224D35">
              <w:rPr>
                <w:lang w:val="en-US"/>
              </w:rPr>
              <w:t xml:space="preserve">&gt; </w:t>
            </w:r>
            <w:r w:rsidRPr="00224D35">
              <w:t>0,4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</w:t>
            </w:r>
          </w:p>
        </w:tc>
      </w:tr>
      <w:tr w:rsidR="007732DB" w:rsidRPr="00BF1592" w:rsidTr="00B64736">
        <w:trPr>
          <w:trHeight w:val="821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proofErr w:type="gramStart"/>
            <w:r w:rsidRPr="00E90A27">
              <w:rPr>
                <w:vertAlign w:val="subscript"/>
              </w:rPr>
              <w:t>4</w:t>
            </w:r>
            <w:proofErr w:type="gramEnd"/>
            <w:r w:rsidRPr="00224D35">
              <w:t xml:space="preserve">. Среднее количество изменений в </w:t>
            </w:r>
            <w:proofErr w:type="gramStart"/>
            <w:r w:rsidRPr="00224D35">
              <w:t>расчете</w:t>
            </w:r>
            <w:proofErr w:type="gramEnd"/>
            <w:r w:rsidRPr="00224D35">
              <w:t xml:space="preserve"> на одну позицию плана-графика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4</w:t>
            </w:r>
            <w:proofErr w:type="gramEnd"/>
            <w:r w:rsidRPr="00224D35">
              <w:t xml:space="preserve"> = N</w:t>
            </w:r>
            <w:r w:rsidRPr="00196E84">
              <w:rPr>
                <w:vertAlign w:val="subscript"/>
              </w:rPr>
              <w:t>7</w:t>
            </w:r>
            <w:r w:rsidRPr="00224D35">
              <w:t xml:space="preserve"> / N</w:t>
            </w:r>
            <w:r w:rsidRPr="00196E84">
              <w:rPr>
                <w:vertAlign w:val="subscript"/>
              </w:rPr>
              <w:t>8</w:t>
            </w:r>
            <w:r w:rsidRPr="00224D35">
              <w:t>, где</w:t>
            </w:r>
          </w:p>
          <w:p w:rsidR="007732DB" w:rsidRDefault="007732DB" w:rsidP="00B64736">
            <w:pPr>
              <w:contextualSpacing/>
              <w:mirrorIndents/>
            </w:pPr>
            <w:r w:rsidRPr="00224D35">
              <w:rPr>
                <w:lang w:val="en-US"/>
              </w:rPr>
              <w:t>N</w:t>
            </w:r>
            <w:r w:rsidRPr="00196E84">
              <w:rPr>
                <w:vertAlign w:val="subscript"/>
              </w:rPr>
              <w:t>7</w:t>
            </w:r>
            <w:r w:rsidRPr="00224D35">
              <w:t xml:space="preserve"> - количество изменений в плане-графике в отчетном периоде</w:t>
            </w:r>
            <w:r>
              <w:t xml:space="preserve"> за исключением изменений, связанных с изменением действующего законодательства, добавлением новых позиций и корректировкой начальной максимальной цены контракта</w:t>
            </w:r>
            <w:r w:rsidRPr="00224D35">
              <w:t xml:space="preserve">, </w:t>
            </w:r>
            <w:proofErr w:type="gramStart"/>
            <w:r w:rsidRPr="00224D35">
              <w:t>ед.;</w:t>
            </w:r>
            <w:proofErr w:type="gramEnd"/>
          </w:p>
          <w:p w:rsidR="007732DB" w:rsidRPr="00456D02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196E84">
              <w:rPr>
                <w:vertAlign w:val="subscript"/>
              </w:rPr>
              <w:t>8</w:t>
            </w:r>
            <w:r w:rsidRPr="00456D02">
              <w:t xml:space="preserve"> - </w:t>
            </w:r>
            <w:r>
              <w:t>к</w:t>
            </w:r>
            <w:r w:rsidRPr="00456D02">
              <w:t>оличество позиций в плане-графике на последнюю отчетную дату, по которым публикуется извещение о закупке</w:t>
            </w:r>
            <w:r>
              <w:t>, ед.</w:t>
            </w: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4</w:t>
            </w:r>
            <w:proofErr w:type="gramEnd"/>
            <w:r w:rsidRPr="00224D35">
              <w:t xml:space="preserve"> ≤</w:t>
            </w:r>
            <w:r w:rsidRPr="00224D35">
              <w:rPr>
                <w:lang w:val="en-US"/>
              </w:rPr>
              <w:t xml:space="preserve"> </w:t>
            </w:r>
            <w:r w:rsidRPr="00224D35">
              <w:t>1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821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 xml:space="preserve">1 </w:t>
            </w:r>
            <w:r w:rsidRPr="00224D35">
              <w:rPr>
                <w:lang w:val="en-US"/>
              </w:rPr>
              <w:t xml:space="preserve">&lt; </w:t>
            </w: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4</w:t>
            </w:r>
            <w:proofErr w:type="gramEnd"/>
            <w:r w:rsidRPr="00224D35">
              <w:t xml:space="preserve"> ≤ 2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(2 - П</w:t>
            </w:r>
            <w:proofErr w:type="gramStart"/>
            <w:r w:rsidRPr="00196E84">
              <w:rPr>
                <w:vertAlign w:val="subscript"/>
              </w:rPr>
              <w:t>4</w:t>
            </w:r>
            <w:proofErr w:type="gramEnd"/>
            <w:r w:rsidRPr="00224D35">
              <w:t xml:space="preserve">) </w:t>
            </w:r>
            <w:r w:rsidRPr="00224D35">
              <w:rPr>
                <w:rStyle w:val="tgc"/>
              </w:rPr>
              <w:t>× 100</w:t>
            </w:r>
          </w:p>
        </w:tc>
      </w:tr>
      <w:tr w:rsidR="007732DB" w:rsidRPr="00BF1592" w:rsidTr="00B64736">
        <w:trPr>
          <w:trHeight w:val="822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4</w:t>
            </w:r>
            <w:proofErr w:type="gramEnd"/>
            <w:r w:rsidRPr="00224D35">
              <w:t xml:space="preserve"> </w:t>
            </w:r>
            <w:r>
              <w:rPr>
                <w:lang w:val="en-US"/>
              </w:rPr>
              <w:t>&gt;</w:t>
            </w:r>
            <w:r w:rsidRPr="00224D35">
              <w:t xml:space="preserve"> 2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</w:t>
            </w:r>
          </w:p>
        </w:tc>
      </w:tr>
      <w:tr w:rsidR="007732DB" w:rsidRPr="00BF1592" w:rsidTr="00B64736">
        <w:trPr>
          <w:trHeight w:val="409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E90A27">
              <w:rPr>
                <w:vertAlign w:val="subscript"/>
              </w:rPr>
              <w:t>5</w:t>
            </w:r>
            <w:r w:rsidRPr="00224D35">
              <w:t>. Степень выполнения плана-графика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196E84">
              <w:rPr>
                <w:vertAlign w:val="subscript"/>
              </w:rPr>
              <w:t>5</w:t>
            </w:r>
            <w:r w:rsidRPr="00224D35">
              <w:t xml:space="preserve"> = N</w:t>
            </w:r>
            <w:r w:rsidRPr="00196E84">
              <w:rPr>
                <w:vertAlign w:val="subscript"/>
              </w:rPr>
              <w:t>9</w:t>
            </w:r>
            <w:r w:rsidRPr="00224D35">
              <w:t xml:space="preserve"> / N</w:t>
            </w:r>
            <w:r w:rsidRPr="00196E84">
              <w:rPr>
                <w:vertAlign w:val="subscript"/>
              </w:rPr>
              <w:t>8</w:t>
            </w:r>
            <w:r w:rsidRPr="00224D35">
              <w:t>, где</w:t>
            </w:r>
          </w:p>
          <w:p w:rsidR="007732DB" w:rsidRDefault="007732DB" w:rsidP="00B64736">
            <w:pPr>
              <w:contextualSpacing/>
              <w:mirrorIndents/>
              <w:rPr>
                <w:spacing w:val="-6"/>
              </w:rPr>
            </w:pPr>
            <w:r w:rsidRPr="00196E84">
              <w:rPr>
                <w:spacing w:val="-6"/>
                <w:lang w:val="en-US"/>
              </w:rPr>
              <w:t>N</w:t>
            </w:r>
            <w:r w:rsidRPr="00196E84">
              <w:rPr>
                <w:spacing w:val="-6"/>
                <w:vertAlign w:val="subscript"/>
              </w:rPr>
              <w:t>9</w:t>
            </w:r>
            <w:r w:rsidRPr="00196E84">
              <w:rPr>
                <w:spacing w:val="-6"/>
              </w:rPr>
              <w:t xml:space="preserve"> - количество извещений</w:t>
            </w:r>
            <w:r>
              <w:rPr>
                <w:spacing w:val="-6"/>
              </w:rPr>
              <w:t>, опубликованных</w:t>
            </w:r>
            <w:r w:rsidRPr="00196E84">
              <w:rPr>
                <w:spacing w:val="-6"/>
              </w:rPr>
              <w:t xml:space="preserve"> в отчетном периоде, </w:t>
            </w:r>
            <w:proofErr w:type="gramStart"/>
            <w:r w:rsidRPr="00196E84">
              <w:rPr>
                <w:spacing w:val="-6"/>
              </w:rPr>
              <w:t>ед.;</w:t>
            </w:r>
            <w:proofErr w:type="gramEnd"/>
          </w:p>
          <w:p w:rsidR="007732DB" w:rsidRPr="00196E84" w:rsidRDefault="007732DB" w:rsidP="00B64736">
            <w:pPr>
              <w:contextualSpacing/>
              <w:mirrorIndents/>
              <w:rPr>
                <w:spacing w:val="-6"/>
              </w:rPr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196E84">
              <w:rPr>
                <w:vertAlign w:val="subscript"/>
              </w:rPr>
              <w:t>5</w:t>
            </w:r>
            <w:r w:rsidRPr="00224D35">
              <w:t xml:space="preserve"> ≤</w:t>
            </w:r>
            <w:r w:rsidRPr="00224D35">
              <w:rPr>
                <w:lang w:val="en-US"/>
              </w:rPr>
              <w:t xml:space="preserve"> </w:t>
            </w:r>
            <w:r w:rsidRPr="00224D35">
              <w:t>1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196E84">
              <w:rPr>
                <w:vertAlign w:val="subscript"/>
              </w:rPr>
              <w:t>5</w:t>
            </w:r>
            <w:r w:rsidRPr="00224D35">
              <w:t xml:space="preserve"> </w:t>
            </w:r>
            <w:r w:rsidRPr="00224D35">
              <w:rPr>
                <w:rStyle w:val="tgc"/>
              </w:rPr>
              <w:t>× 100</w:t>
            </w:r>
          </w:p>
        </w:tc>
      </w:tr>
      <w:tr w:rsidR="007732DB" w:rsidRPr="00BF1592" w:rsidTr="00B64736">
        <w:trPr>
          <w:trHeight w:val="409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196E84">
              <w:rPr>
                <w:vertAlign w:val="subscript"/>
              </w:rPr>
              <w:t>5</w:t>
            </w:r>
            <w:r w:rsidRPr="00224D35">
              <w:t xml:space="preserve"> </w:t>
            </w:r>
            <w:r w:rsidRPr="00224D35">
              <w:rPr>
                <w:lang w:val="en-US"/>
              </w:rPr>
              <w:t xml:space="preserve">&gt; </w:t>
            </w:r>
            <w:r w:rsidRPr="00224D35">
              <w:t>1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>
              <w:t>0</w:t>
            </w:r>
          </w:p>
        </w:tc>
      </w:tr>
      <w:tr w:rsidR="007732DB" w:rsidRPr="00BF1592" w:rsidTr="00B64736">
        <w:tc>
          <w:tcPr>
            <w:tcW w:w="5000" w:type="pct"/>
            <w:gridSpan w:val="4"/>
            <w:shd w:val="clear" w:color="auto" w:fill="auto"/>
            <w:vAlign w:val="center"/>
          </w:tcPr>
          <w:p w:rsidR="007732DB" w:rsidRPr="00196E84" w:rsidRDefault="007732DB" w:rsidP="00B64736">
            <w:pPr>
              <w:contextualSpacing/>
              <w:mirrorIndents/>
              <w:jc w:val="center"/>
            </w:pPr>
            <w:r w:rsidRPr="00196E84">
              <w:t>К</w:t>
            </w:r>
            <w:r w:rsidRPr="00196E84">
              <w:rPr>
                <w:vertAlign w:val="subscript"/>
              </w:rPr>
              <w:t>2г</w:t>
            </w:r>
            <w:r w:rsidRPr="00196E84">
              <w:t>. Эффективность определения поставщиков (подрядчиков, исполнителей) (годовая):</w:t>
            </w:r>
          </w:p>
          <w:p w:rsidR="007732DB" w:rsidRPr="00196E84" w:rsidRDefault="007732DB" w:rsidP="00B64736">
            <w:pPr>
              <w:contextualSpacing/>
              <w:mirrorIndents/>
              <w:jc w:val="center"/>
            </w:pPr>
            <w:r w:rsidRPr="00196E84">
              <w:t>К</w:t>
            </w:r>
            <w:r w:rsidRPr="00196E84">
              <w:rPr>
                <w:vertAlign w:val="subscript"/>
              </w:rPr>
              <w:t>2г</w:t>
            </w:r>
            <w:r w:rsidRPr="00196E84">
              <w:t xml:space="preserve"> = П</w:t>
            </w:r>
            <w:proofErr w:type="gramStart"/>
            <w:r w:rsidRPr="00196E84">
              <w:rPr>
                <w:vertAlign w:val="subscript"/>
              </w:rPr>
              <w:t>6</w:t>
            </w:r>
            <w:proofErr w:type="gramEnd"/>
            <w:r w:rsidRPr="00196E84">
              <w:t xml:space="preserve"> × 0,1 + П</w:t>
            </w:r>
            <w:r w:rsidRPr="00196E84">
              <w:rPr>
                <w:vertAlign w:val="subscript"/>
              </w:rPr>
              <w:t>7</w:t>
            </w:r>
            <w:r w:rsidRPr="00196E84">
              <w:t xml:space="preserve"> × 0,15 + П</w:t>
            </w:r>
            <w:r w:rsidRPr="00196E84">
              <w:rPr>
                <w:vertAlign w:val="subscript"/>
              </w:rPr>
              <w:t>8</w:t>
            </w:r>
            <w:r w:rsidRPr="00196E84">
              <w:t xml:space="preserve"> × 0,15 + П</w:t>
            </w:r>
            <w:r w:rsidRPr="00196E84">
              <w:rPr>
                <w:vertAlign w:val="subscript"/>
              </w:rPr>
              <w:t>9</w:t>
            </w:r>
            <w:r w:rsidRPr="00196E84">
              <w:t xml:space="preserve"> × 0,2 + П</w:t>
            </w:r>
            <w:r w:rsidRPr="00196E84">
              <w:rPr>
                <w:vertAlign w:val="subscript"/>
              </w:rPr>
              <w:t>10</w:t>
            </w:r>
            <w:r w:rsidRPr="00196E84">
              <w:t xml:space="preserve"> × 0,2 + П</w:t>
            </w:r>
            <w:r w:rsidRPr="00196E84">
              <w:rPr>
                <w:vertAlign w:val="subscript"/>
              </w:rPr>
              <w:t>11</w:t>
            </w:r>
            <w:r w:rsidRPr="00196E84">
              <w:t xml:space="preserve"> × 0,05 + П</w:t>
            </w:r>
            <w:r w:rsidRPr="00196E84">
              <w:rPr>
                <w:vertAlign w:val="subscript"/>
              </w:rPr>
              <w:t>12</w:t>
            </w:r>
            <w:r w:rsidRPr="00196E84">
              <w:t xml:space="preserve"> × 0,1 + П</w:t>
            </w:r>
            <w:r w:rsidRPr="00196E84">
              <w:rPr>
                <w:vertAlign w:val="subscript"/>
              </w:rPr>
              <w:t>13</w:t>
            </w:r>
            <w:r w:rsidRPr="00196E84">
              <w:t xml:space="preserve"> × 0,05</w:t>
            </w:r>
          </w:p>
          <w:p w:rsidR="007732DB" w:rsidRPr="00196E84" w:rsidRDefault="007732DB" w:rsidP="00B64736">
            <w:pPr>
              <w:contextualSpacing/>
              <w:mirrorIndents/>
              <w:jc w:val="center"/>
            </w:pPr>
            <w:r w:rsidRPr="00196E84">
              <w:t>К</w:t>
            </w:r>
            <w:r w:rsidRPr="00196E84">
              <w:rPr>
                <w:vertAlign w:val="subscript"/>
              </w:rPr>
              <w:t>2</w:t>
            </w:r>
            <w:r>
              <w:rPr>
                <w:vertAlign w:val="subscript"/>
              </w:rPr>
              <w:t>к</w:t>
            </w:r>
            <w:r w:rsidRPr="00196E84">
              <w:t>. Эффективность определения поставщиков (подрядчиков, исполнителей) (</w:t>
            </w:r>
            <w:r>
              <w:t>квартальная</w:t>
            </w:r>
            <w:r w:rsidRPr="00196E84">
              <w:t>):</w:t>
            </w:r>
          </w:p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196E84">
              <w:t>К</w:t>
            </w:r>
            <w:r w:rsidRPr="00196E84">
              <w:rPr>
                <w:vertAlign w:val="subscript"/>
              </w:rPr>
              <w:t>2</w:t>
            </w:r>
            <w:r>
              <w:rPr>
                <w:vertAlign w:val="subscript"/>
              </w:rPr>
              <w:t>к</w:t>
            </w:r>
            <w:r w:rsidRPr="00196E84">
              <w:t xml:space="preserve"> = П</w:t>
            </w:r>
            <w:proofErr w:type="gramStart"/>
            <w:r w:rsidRPr="00196E84">
              <w:rPr>
                <w:vertAlign w:val="subscript"/>
              </w:rPr>
              <w:t>6</w:t>
            </w:r>
            <w:proofErr w:type="gramEnd"/>
            <w:r w:rsidRPr="00196E84">
              <w:t xml:space="preserve"> × 0,1 + П</w:t>
            </w:r>
            <w:r w:rsidRPr="00196E84">
              <w:rPr>
                <w:vertAlign w:val="subscript"/>
              </w:rPr>
              <w:t>7</w:t>
            </w:r>
            <w:r w:rsidRPr="00196E84">
              <w:t xml:space="preserve"> × 0,15 + П</w:t>
            </w:r>
            <w:r w:rsidRPr="00196E84">
              <w:rPr>
                <w:vertAlign w:val="subscript"/>
              </w:rPr>
              <w:t>8</w:t>
            </w:r>
            <w:r w:rsidRPr="00196E84">
              <w:t xml:space="preserve"> × 0,15 + П</w:t>
            </w:r>
            <w:r w:rsidRPr="00196E84">
              <w:rPr>
                <w:vertAlign w:val="subscript"/>
              </w:rPr>
              <w:t>9</w:t>
            </w:r>
            <w:r w:rsidRPr="00196E84">
              <w:t xml:space="preserve"> × 0,2 + П</w:t>
            </w:r>
            <w:r w:rsidRPr="00196E84">
              <w:rPr>
                <w:vertAlign w:val="subscript"/>
              </w:rPr>
              <w:t>10</w:t>
            </w:r>
            <w:r w:rsidRPr="00196E84">
              <w:t xml:space="preserve"> × 0,25 + П</w:t>
            </w:r>
            <w:r w:rsidRPr="00196E84">
              <w:rPr>
                <w:vertAlign w:val="subscript"/>
              </w:rPr>
              <w:t>12</w:t>
            </w:r>
            <w:r w:rsidRPr="00196E84">
              <w:t xml:space="preserve"> × 0,1 + П</w:t>
            </w:r>
            <w:r w:rsidRPr="00196E84">
              <w:rPr>
                <w:vertAlign w:val="subscript"/>
              </w:rPr>
              <w:t>13</w:t>
            </w:r>
            <w:r w:rsidRPr="00196E84">
              <w:t xml:space="preserve"> × 0,05</w:t>
            </w:r>
          </w:p>
        </w:tc>
      </w:tr>
      <w:tr w:rsidR="007732DB" w:rsidRPr="00BF1592" w:rsidTr="00B64736">
        <w:trPr>
          <w:trHeight w:val="547"/>
        </w:trPr>
        <w:tc>
          <w:tcPr>
            <w:tcW w:w="1217" w:type="pct"/>
            <w:vMerge w:val="restart"/>
            <w:shd w:val="clear" w:color="auto" w:fill="auto"/>
          </w:tcPr>
          <w:p w:rsidR="007732DB" w:rsidRDefault="007732DB" w:rsidP="00B64736">
            <w:pPr>
              <w:contextualSpacing/>
              <w:mirrorIndents/>
            </w:pPr>
            <w:r>
              <w:t>П</w:t>
            </w:r>
            <w:proofErr w:type="gramStart"/>
            <w:r w:rsidRPr="00196E84">
              <w:rPr>
                <w:vertAlign w:val="subscript"/>
              </w:rPr>
              <w:t>6</w:t>
            </w:r>
            <w:proofErr w:type="gramEnd"/>
            <w:r>
              <w:t xml:space="preserve">. Доля закупок, </w:t>
            </w:r>
            <w:proofErr w:type="gramStart"/>
            <w:r>
              <w:t>соверше</w:t>
            </w:r>
            <w:r w:rsidRPr="00224D35">
              <w:t>нных</w:t>
            </w:r>
            <w:proofErr w:type="gramEnd"/>
            <w:r w:rsidRPr="00224D35">
              <w:t xml:space="preserve"> конкурентными способами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6</w:t>
            </w:r>
            <w:proofErr w:type="gramEnd"/>
            <w:r w:rsidRPr="00224D35">
              <w:t xml:space="preserve"> = N</w:t>
            </w:r>
            <w:r w:rsidRPr="00196E84">
              <w:rPr>
                <w:vertAlign w:val="subscript"/>
              </w:rPr>
              <w:t>6</w:t>
            </w:r>
            <w:r w:rsidRPr="00224D35">
              <w:t xml:space="preserve"> / N</w:t>
            </w:r>
            <w:r w:rsidRPr="00196E84">
              <w:rPr>
                <w:vertAlign w:val="subscript"/>
              </w:rPr>
              <w:t>10</w:t>
            </w:r>
            <w:r w:rsidRPr="00224D35">
              <w:t>, где</w:t>
            </w:r>
          </w:p>
          <w:p w:rsidR="007732DB" w:rsidRDefault="007732DB" w:rsidP="00B64736">
            <w:pPr>
              <w:contextualSpacing/>
              <w:mirrorIndents/>
            </w:pPr>
            <w:r w:rsidRPr="00224D35">
              <w:rPr>
                <w:lang w:val="en-US"/>
              </w:rPr>
              <w:t>N</w:t>
            </w:r>
            <w:r w:rsidRPr="00196E84">
              <w:rPr>
                <w:vertAlign w:val="subscript"/>
              </w:rPr>
              <w:t>10</w:t>
            </w:r>
            <w:r w:rsidRPr="00224D35">
              <w:t xml:space="preserve"> - стоимость </w:t>
            </w:r>
            <w:r>
              <w:t xml:space="preserve">контрактов, </w:t>
            </w:r>
            <w:r w:rsidRPr="00224D35">
              <w:t xml:space="preserve">заключенных </w:t>
            </w:r>
            <w:r>
              <w:t xml:space="preserve">в отчетном периоде </w:t>
            </w:r>
            <w:r w:rsidRPr="00224D35">
              <w:t xml:space="preserve">по </w:t>
            </w:r>
            <w:r>
              <w:t>результатам</w:t>
            </w:r>
            <w:r w:rsidRPr="00224D35">
              <w:t xml:space="preserve"> </w:t>
            </w:r>
            <w:r>
              <w:t xml:space="preserve">проведения </w:t>
            </w:r>
            <w:r w:rsidRPr="00224D35">
              <w:t xml:space="preserve">закупок, </w:t>
            </w:r>
            <w:r>
              <w:t>тыс. руб.</w:t>
            </w:r>
            <w:r w:rsidRPr="00224D35">
              <w:t>;</w:t>
            </w:r>
          </w:p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proofErr w:type="gramStart"/>
            <w:r>
              <w:rPr>
                <w:vertAlign w:val="subscript"/>
              </w:rPr>
              <w:t>6</w:t>
            </w:r>
            <w:proofErr w:type="gramEnd"/>
            <w:r w:rsidRPr="00224D35">
              <w:t xml:space="preserve"> ≥ </w:t>
            </w:r>
            <w:r>
              <w:t>0,9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>
              <w:t>100</w:t>
            </w:r>
          </w:p>
        </w:tc>
      </w:tr>
      <w:tr w:rsidR="007732DB" w:rsidRPr="00BF1592" w:rsidTr="00B64736">
        <w:trPr>
          <w:trHeight w:val="547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6</w:t>
            </w:r>
            <w:proofErr w:type="gramEnd"/>
            <w:r>
              <w:rPr>
                <w:vertAlign w:val="subscript"/>
              </w:rPr>
              <w:t xml:space="preserve"> </w:t>
            </w:r>
            <w:r w:rsidRPr="00224D35">
              <w:rPr>
                <w:lang w:val="en-US"/>
              </w:rPr>
              <w:t>&lt;</w:t>
            </w:r>
            <w:r>
              <w:t xml:space="preserve"> 0,9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6</w:t>
            </w:r>
            <w:proofErr w:type="gramEnd"/>
            <w:r w:rsidRPr="00224D35">
              <w:t xml:space="preserve"> </w:t>
            </w:r>
            <w:r w:rsidRPr="00224D35">
              <w:rPr>
                <w:rStyle w:val="tgc"/>
              </w:rPr>
              <w:t>× 100</w:t>
            </w:r>
          </w:p>
        </w:tc>
      </w:tr>
      <w:tr w:rsidR="007732DB" w:rsidRPr="00BF1592" w:rsidTr="00B64736">
        <w:trPr>
          <w:trHeight w:val="321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7</w:t>
            </w:r>
            <w:proofErr w:type="gramEnd"/>
            <w:r w:rsidRPr="00224D35">
              <w:t>. Среднее количество участников закупок, подавших заявки на участие в конкурентной процедуре закупки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7</w:t>
            </w:r>
            <w:proofErr w:type="gramEnd"/>
            <w:r w:rsidRPr="00224D35">
              <w:t xml:space="preserve"> = </w:t>
            </w:r>
            <w:r>
              <w:t>N</w:t>
            </w:r>
            <w:r w:rsidRPr="00196E84">
              <w:rPr>
                <w:vertAlign w:val="subscript"/>
              </w:rPr>
              <w:t>11</w:t>
            </w:r>
            <w:r w:rsidRPr="00224D35">
              <w:t xml:space="preserve"> / </w:t>
            </w:r>
            <w:r>
              <w:t>N</w:t>
            </w:r>
            <w:r w:rsidRPr="00196E84">
              <w:rPr>
                <w:vertAlign w:val="subscript"/>
              </w:rPr>
              <w:t>12</w:t>
            </w:r>
            <w:r w:rsidRPr="00224D35">
              <w:t>, где</w:t>
            </w:r>
          </w:p>
          <w:p w:rsidR="007732DB" w:rsidRPr="00224D35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196E84">
              <w:rPr>
                <w:vertAlign w:val="subscript"/>
              </w:rPr>
              <w:t>11</w:t>
            </w:r>
            <w:r w:rsidRPr="00224D35">
              <w:t xml:space="preserve"> - количество заявок</w:t>
            </w:r>
            <w:r>
              <w:t xml:space="preserve">, </w:t>
            </w:r>
            <w:r w:rsidRPr="00224D35">
              <w:t>поданных на участие в конкурентных процедурах</w:t>
            </w:r>
            <w:r>
              <w:t xml:space="preserve">, </w:t>
            </w:r>
            <w:r w:rsidRPr="00224D35">
              <w:t xml:space="preserve">итоги по которым подводятся в отчетном периоде, </w:t>
            </w:r>
            <w:proofErr w:type="gramStart"/>
            <w:r w:rsidRPr="00224D35">
              <w:t>ед.;</w:t>
            </w:r>
            <w:proofErr w:type="gramEnd"/>
          </w:p>
          <w:p w:rsidR="007732DB" w:rsidRDefault="007732DB" w:rsidP="00B64736">
            <w:pPr>
              <w:contextualSpacing/>
              <w:mirrorIndents/>
            </w:pPr>
            <w:r>
              <w:t>N</w:t>
            </w:r>
            <w:r w:rsidRPr="00196E84">
              <w:rPr>
                <w:vertAlign w:val="subscript"/>
              </w:rPr>
              <w:t>12</w:t>
            </w:r>
            <w:r w:rsidRPr="00224D35">
              <w:t xml:space="preserve"> - количество </w:t>
            </w:r>
            <w:proofErr w:type="gramStart"/>
            <w:r w:rsidRPr="00224D35">
              <w:t>конкурентных</w:t>
            </w:r>
            <w:proofErr w:type="gramEnd"/>
            <w:r w:rsidRPr="00224D35">
              <w:t xml:space="preserve"> закупок, итоги по которым подводятся в отчетном периоде, ед.;</w:t>
            </w:r>
          </w:p>
          <w:p w:rsidR="007732DB" w:rsidRPr="00E5301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jc w:val="center"/>
            </w:pP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7</w:t>
            </w:r>
            <w:proofErr w:type="gramEnd"/>
            <w:r w:rsidRPr="00224D35">
              <w:t xml:space="preserve"> ≥ </w:t>
            </w:r>
            <w:r>
              <w:t>3,5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322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DE4580" w:rsidRDefault="007732DB" w:rsidP="00B64736">
            <w:pPr>
              <w:jc w:val="center"/>
            </w:pPr>
            <w:r>
              <w:t>3</w:t>
            </w:r>
            <w:r w:rsidRPr="00224D35">
              <w:t xml:space="preserve"> ≤ П</w:t>
            </w:r>
            <w:proofErr w:type="gramStart"/>
            <w:r w:rsidRPr="00196E84">
              <w:rPr>
                <w:vertAlign w:val="subscript"/>
              </w:rPr>
              <w:t>7</w:t>
            </w:r>
            <w:proofErr w:type="gramEnd"/>
            <w:r w:rsidRPr="00224D35">
              <w:t xml:space="preserve"> </w:t>
            </w:r>
            <w:r w:rsidRPr="00224D35">
              <w:rPr>
                <w:lang w:val="en-US"/>
              </w:rPr>
              <w:t xml:space="preserve">&lt; </w:t>
            </w:r>
            <w:r>
              <w:t>3,5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75</w:t>
            </w:r>
          </w:p>
        </w:tc>
      </w:tr>
      <w:tr w:rsidR="007732DB" w:rsidRPr="00BF1592" w:rsidTr="00B64736">
        <w:trPr>
          <w:trHeight w:val="321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DE4580" w:rsidRDefault="007732DB" w:rsidP="00B64736">
            <w:pPr>
              <w:jc w:val="center"/>
            </w:pPr>
            <w:r>
              <w:t>2,5</w:t>
            </w:r>
            <w:r w:rsidRPr="00224D35">
              <w:t xml:space="preserve"> ≤ П</w:t>
            </w:r>
            <w:proofErr w:type="gramStart"/>
            <w:r w:rsidRPr="00196E84">
              <w:rPr>
                <w:vertAlign w:val="subscript"/>
              </w:rPr>
              <w:t>7</w:t>
            </w:r>
            <w:proofErr w:type="gramEnd"/>
            <w:r w:rsidRPr="00224D35">
              <w:t xml:space="preserve"> </w:t>
            </w:r>
            <w:r w:rsidRPr="00224D35">
              <w:rPr>
                <w:lang w:val="en-US"/>
              </w:rPr>
              <w:t>&lt; 3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50</w:t>
            </w:r>
          </w:p>
        </w:tc>
      </w:tr>
      <w:tr w:rsidR="007732DB" w:rsidRPr="00BF1592" w:rsidTr="00B64736">
        <w:trPr>
          <w:trHeight w:val="322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DE4580" w:rsidRDefault="007732DB" w:rsidP="00B64736">
            <w:pPr>
              <w:jc w:val="center"/>
            </w:pPr>
            <w:r>
              <w:t>2</w:t>
            </w:r>
            <w:r w:rsidRPr="00224D35">
              <w:t xml:space="preserve"> ≤ П</w:t>
            </w:r>
            <w:proofErr w:type="gramStart"/>
            <w:r w:rsidRPr="00196E84">
              <w:rPr>
                <w:vertAlign w:val="subscript"/>
              </w:rPr>
              <w:t>7</w:t>
            </w:r>
            <w:proofErr w:type="gramEnd"/>
            <w:r w:rsidRPr="00224D35">
              <w:t xml:space="preserve"> </w:t>
            </w:r>
            <w:r w:rsidRPr="00224D35">
              <w:rPr>
                <w:lang w:val="en-US"/>
              </w:rPr>
              <w:t xml:space="preserve">&lt; </w:t>
            </w:r>
            <w:r>
              <w:t>2,5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>
              <w:t>25</w:t>
            </w:r>
          </w:p>
        </w:tc>
      </w:tr>
      <w:tr w:rsidR="007732DB" w:rsidRPr="00BF1592" w:rsidTr="00B64736">
        <w:trPr>
          <w:trHeight w:val="322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  <w:rPr>
                <w:highlight w:val="yellow"/>
              </w:rPr>
            </w:pPr>
            <w:r w:rsidRPr="00224D35">
              <w:t>П</w:t>
            </w:r>
            <w:proofErr w:type="gramStart"/>
            <w:r w:rsidRPr="00196E84">
              <w:rPr>
                <w:vertAlign w:val="subscript"/>
              </w:rPr>
              <w:t>7</w:t>
            </w:r>
            <w:proofErr w:type="gramEnd"/>
            <w:r w:rsidRPr="00224D35">
              <w:t xml:space="preserve"> </w:t>
            </w:r>
            <w:r w:rsidRPr="00224D35">
              <w:rPr>
                <w:lang w:val="en-US"/>
              </w:rPr>
              <w:t>&lt;</w:t>
            </w:r>
            <w:r w:rsidRPr="00224D35">
              <w:t xml:space="preserve"> 2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>
              <w:t>0</w:t>
            </w:r>
          </w:p>
        </w:tc>
      </w:tr>
      <w:tr w:rsidR="007732DB" w:rsidRPr="00BF1592" w:rsidTr="00B64736">
        <w:trPr>
          <w:trHeight w:val="475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lastRenderedPageBreak/>
              <w:t>П</w:t>
            </w:r>
            <w:r w:rsidRPr="00596E6D">
              <w:rPr>
                <w:vertAlign w:val="subscript"/>
              </w:rPr>
              <w:t>8</w:t>
            </w:r>
            <w:r w:rsidRPr="00224D35">
              <w:t>. Относительная экономия бюджетных средств по итогам проведения конкурентных закупок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596E6D">
              <w:rPr>
                <w:vertAlign w:val="subscript"/>
              </w:rPr>
              <w:t>8</w:t>
            </w:r>
            <w:r w:rsidRPr="00224D35">
              <w:t xml:space="preserve"> = 1 - </w:t>
            </w:r>
            <w:r>
              <w:t>N</w:t>
            </w:r>
            <w:r w:rsidRPr="00596E6D">
              <w:rPr>
                <w:vertAlign w:val="subscript"/>
              </w:rPr>
              <w:t>13</w:t>
            </w:r>
            <w:r w:rsidRPr="00224D35">
              <w:t xml:space="preserve"> / </w:t>
            </w:r>
            <w:r>
              <w:t>N</w:t>
            </w:r>
            <w:r w:rsidRPr="00596E6D">
              <w:rPr>
                <w:vertAlign w:val="subscript"/>
              </w:rPr>
              <w:t>14</w:t>
            </w:r>
            <w:r w:rsidRPr="00224D35">
              <w:t>, где</w:t>
            </w:r>
          </w:p>
          <w:p w:rsidR="007732DB" w:rsidRPr="00224D35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596E6D">
              <w:rPr>
                <w:vertAlign w:val="subscript"/>
              </w:rPr>
              <w:t>13</w:t>
            </w:r>
            <w:r w:rsidRPr="00224D35">
              <w:t xml:space="preserve"> - </w:t>
            </w:r>
            <w:r>
              <w:t>стоимость</w:t>
            </w:r>
            <w:r w:rsidRPr="00224D35">
              <w:t xml:space="preserve"> контрактов, сложившаяся по результатам проведенных конкурентных процедур, итоги по которым подводятся в отчетном периоде, </w:t>
            </w:r>
            <w:r>
              <w:t>тыс. руб.</w:t>
            </w:r>
            <w:r w:rsidRPr="00224D35">
              <w:t>;</w:t>
            </w:r>
          </w:p>
          <w:p w:rsidR="007732DB" w:rsidRPr="00FF7A64" w:rsidRDefault="007732DB" w:rsidP="00B64736">
            <w:pPr>
              <w:contextualSpacing/>
              <w:mirrorIndents/>
              <w:rPr>
                <w:spacing w:val="-2"/>
              </w:rPr>
            </w:pPr>
            <w:r>
              <w:rPr>
                <w:lang w:val="en-US"/>
              </w:rPr>
              <w:t>N</w:t>
            </w:r>
            <w:r w:rsidRPr="00596E6D">
              <w:rPr>
                <w:vertAlign w:val="subscript"/>
              </w:rPr>
              <w:t>14</w:t>
            </w:r>
            <w:r w:rsidRPr="00224D35">
              <w:t xml:space="preserve"> - </w:t>
            </w:r>
            <w:r w:rsidRPr="00FF7A64">
              <w:rPr>
                <w:spacing w:val="-4"/>
              </w:rPr>
              <w:t>сумма НМЦК закупок, проведенных конкурентными способами</w:t>
            </w:r>
            <w:r>
              <w:t xml:space="preserve">, </w:t>
            </w:r>
            <w:r w:rsidRPr="00FF7A64">
              <w:rPr>
                <w:spacing w:val="-2"/>
              </w:rPr>
              <w:t>итоги по которым подводятся в отчетном периоде, тыс. руб.;</w:t>
            </w:r>
          </w:p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F963A7" w:rsidRDefault="007732DB" w:rsidP="00B64736">
            <w:pPr>
              <w:contextualSpacing/>
              <w:mirrorIndents/>
              <w:jc w:val="center"/>
            </w:pPr>
            <w:r w:rsidRPr="00F963A7">
              <w:t>П</w:t>
            </w:r>
            <w:r w:rsidRPr="00596E6D">
              <w:rPr>
                <w:vertAlign w:val="subscript"/>
              </w:rPr>
              <w:t>8</w:t>
            </w:r>
            <w:r w:rsidRPr="00F963A7">
              <w:t xml:space="preserve"> ≥ 0,082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476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F963A7" w:rsidRDefault="007732DB" w:rsidP="00B64736">
            <w:pPr>
              <w:contextualSpacing/>
              <w:mirrorIndents/>
              <w:jc w:val="center"/>
            </w:pPr>
            <w:r w:rsidRPr="00F963A7">
              <w:t>0,07 ≤ П</w:t>
            </w:r>
            <w:r w:rsidRPr="00596E6D">
              <w:rPr>
                <w:vertAlign w:val="subscript"/>
              </w:rPr>
              <w:t>8</w:t>
            </w:r>
            <w:r w:rsidRPr="00F963A7">
              <w:t xml:space="preserve"> &lt; 0,082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75</w:t>
            </w:r>
          </w:p>
        </w:tc>
      </w:tr>
      <w:tr w:rsidR="007732DB" w:rsidRPr="00BF1592" w:rsidTr="00B64736">
        <w:trPr>
          <w:trHeight w:val="475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F963A7" w:rsidRDefault="007732DB" w:rsidP="00B64736">
            <w:pPr>
              <w:contextualSpacing/>
              <w:mirrorIndents/>
              <w:jc w:val="center"/>
            </w:pPr>
            <w:r w:rsidRPr="00F963A7">
              <w:t>0,055 ≤ П</w:t>
            </w:r>
            <w:r w:rsidRPr="00596E6D">
              <w:rPr>
                <w:vertAlign w:val="subscript"/>
              </w:rPr>
              <w:t>8</w:t>
            </w:r>
            <w:r w:rsidRPr="00F963A7">
              <w:t xml:space="preserve"> &lt; 0,07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50</w:t>
            </w:r>
          </w:p>
        </w:tc>
      </w:tr>
      <w:tr w:rsidR="007732DB" w:rsidRPr="00BF1592" w:rsidTr="00B64736">
        <w:trPr>
          <w:trHeight w:val="476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F963A7" w:rsidRDefault="007732DB" w:rsidP="00B64736">
            <w:pPr>
              <w:contextualSpacing/>
              <w:mirrorIndents/>
              <w:jc w:val="center"/>
            </w:pPr>
            <w:r w:rsidRPr="00F963A7">
              <w:t>П</w:t>
            </w:r>
            <w:r w:rsidRPr="00596E6D">
              <w:rPr>
                <w:vertAlign w:val="subscript"/>
              </w:rPr>
              <w:t>8</w:t>
            </w:r>
            <w:r w:rsidRPr="00F963A7">
              <w:t xml:space="preserve"> &lt; 0,055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</w:t>
            </w:r>
          </w:p>
        </w:tc>
      </w:tr>
      <w:tr w:rsidR="007732DB" w:rsidRPr="00BF1592" w:rsidTr="00B64736">
        <w:tc>
          <w:tcPr>
            <w:tcW w:w="1217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proofErr w:type="gramStart"/>
            <w:r w:rsidRPr="00596E6D">
              <w:rPr>
                <w:vertAlign w:val="subscript"/>
              </w:rPr>
              <w:t>9</w:t>
            </w:r>
            <w:proofErr w:type="gramEnd"/>
            <w:r w:rsidRPr="00224D35">
              <w:t xml:space="preserve">. Доля несостоявшихся конкурентных закупок в общей стоимости проведенных конкурентных процедур  </w:t>
            </w:r>
          </w:p>
        </w:tc>
        <w:tc>
          <w:tcPr>
            <w:tcW w:w="2460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proofErr w:type="gramStart"/>
            <w:r w:rsidRPr="00596E6D">
              <w:rPr>
                <w:vertAlign w:val="subscript"/>
              </w:rPr>
              <w:t>9</w:t>
            </w:r>
            <w:proofErr w:type="gramEnd"/>
            <w:r w:rsidRPr="00224D35">
              <w:t xml:space="preserve"> = </w:t>
            </w:r>
            <w:r>
              <w:t>N</w:t>
            </w:r>
            <w:r w:rsidRPr="00596E6D">
              <w:rPr>
                <w:vertAlign w:val="subscript"/>
              </w:rPr>
              <w:t>15</w:t>
            </w:r>
            <w:r w:rsidRPr="00224D35">
              <w:t xml:space="preserve"> / </w:t>
            </w:r>
            <w:r>
              <w:t>N</w:t>
            </w:r>
            <w:r w:rsidRPr="00596E6D">
              <w:rPr>
                <w:vertAlign w:val="subscript"/>
              </w:rPr>
              <w:t>16</w:t>
            </w:r>
            <w:r w:rsidRPr="00224D35">
              <w:t>, где</w:t>
            </w:r>
          </w:p>
          <w:p w:rsidR="007732DB" w:rsidRPr="00224D35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596E6D">
              <w:rPr>
                <w:vertAlign w:val="subscript"/>
              </w:rPr>
              <w:t>15</w:t>
            </w:r>
            <w:r>
              <w:t xml:space="preserve"> - </w:t>
            </w:r>
            <w:r w:rsidRPr="00224D35">
              <w:t>сумма НМЦК конкурентных закуп</w:t>
            </w:r>
            <w:r>
              <w:t>ок, признанных несостоявшимися</w:t>
            </w:r>
            <w:r w:rsidRPr="00224D35">
              <w:t xml:space="preserve">, </w:t>
            </w:r>
            <w:r>
              <w:t>тыс. руб.</w:t>
            </w:r>
            <w:r w:rsidRPr="00224D35">
              <w:t>;</w:t>
            </w:r>
          </w:p>
          <w:p w:rsidR="007732DB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596E6D">
              <w:rPr>
                <w:vertAlign w:val="subscript"/>
              </w:rPr>
              <w:t>16</w:t>
            </w:r>
            <w:r w:rsidRPr="00224D35">
              <w:t xml:space="preserve"> - сумма НМЦК конкурентных закупок</w:t>
            </w:r>
            <w:r>
              <w:t xml:space="preserve">, </w:t>
            </w:r>
            <w:r w:rsidRPr="00224D35">
              <w:t>объявленных</w:t>
            </w:r>
            <w:r>
              <w:t xml:space="preserve"> в отчетном периоде</w:t>
            </w:r>
            <w:r w:rsidRPr="00224D35">
              <w:t xml:space="preserve">, </w:t>
            </w:r>
            <w:r>
              <w:t>тыс. руб.</w:t>
            </w:r>
            <w:r w:rsidRPr="00224D35">
              <w:t>;</w:t>
            </w:r>
          </w:p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(1 - П</w:t>
            </w:r>
            <w:proofErr w:type="gramStart"/>
            <w:r w:rsidRPr="00596E6D">
              <w:rPr>
                <w:vertAlign w:val="subscript"/>
              </w:rPr>
              <w:t>9</w:t>
            </w:r>
            <w:proofErr w:type="gramEnd"/>
            <w:r w:rsidRPr="00224D35">
              <w:t xml:space="preserve">) </w:t>
            </w:r>
            <w:r w:rsidRPr="00224D35">
              <w:rPr>
                <w:rStyle w:val="tgc"/>
              </w:rPr>
              <w:t>×</w:t>
            </w:r>
            <w:r w:rsidRPr="00224D35">
              <w:t xml:space="preserve"> 100</w:t>
            </w:r>
          </w:p>
        </w:tc>
      </w:tr>
      <w:tr w:rsidR="007732DB" w:rsidRPr="00BF1592" w:rsidTr="00B64736">
        <w:trPr>
          <w:trHeight w:val="544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596E6D">
              <w:rPr>
                <w:vertAlign w:val="subscript"/>
              </w:rPr>
              <w:t>10</w:t>
            </w:r>
            <w:r w:rsidRPr="00224D35">
              <w:t>. Качество подготовки заявок</w:t>
            </w:r>
            <w:r>
              <w:t xml:space="preserve"> на проведение закупок</w:t>
            </w:r>
            <w:r w:rsidRPr="00224D35">
              <w:t>, направленных в уполномоченный орган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596E6D">
              <w:rPr>
                <w:vertAlign w:val="subscript"/>
              </w:rPr>
              <w:t>10</w:t>
            </w:r>
            <w:r w:rsidRPr="00224D35">
              <w:t xml:space="preserve"> = </w:t>
            </w:r>
            <w:r>
              <w:t>N</w:t>
            </w:r>
            <w:r w:rsidRPr="00596E6D">
              <w:rPr>
                <w:vertAlign w:val="subscript"/>
              </w:rPr>
              <w:t>17</w:t>
            </w:r>
            <w:r w:rsidRPr="00224D35">
              <w:t xml:space="preserve"> / </w:t>
            </w:r>
            <w:r>
              <w:t>N</w:t>
            </w:r>
            <w:r w:rsidRPr="00596E6D">
              <w:rPr>
                <w:vertAlign w:val="subscript"/>
              </w:rPr>
              <w:t>18</w:t>
            </w:r>
            <w:r w:rsidRPr="00224D35">
              <w:t>, где</w:t>
            </w:r>
          </w:p>
          <w:p w:rsidR="007732DB" w:rsidRPr="00224D35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596E6D">
              <w:rPr>
                <w:vertAlign w:val="subscript"/>
              </w:rPr>
              <w:t>17</w:t>
            </w:r>
            <w:r w:rsidRPr="00224D35">
              <w:t xml:space="preserve"> - количество отозванных, возвращенных заявок на проведение закупок, поданных в уполномоченный орган, изменений в опубликованные извещения и документацию о закупках, а также количество отмененных закупок, </w:t>
            </w:r>
            <w:proofErr w:type="gramStart"/>
            <w:r w:rsidRPr="00224D35">
              <w:t>ед.;</w:t>
            </w:r>
            <w:proofErr w:type="gramEnd"/>
          </w:p>
          <w:p w:rsidR="007732DB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596E6D">
              <w:rPr>
                <w:vertAlign w:val="subscript"/>
              </w:rPr>
              <w:t>18</w:t>
            </w:r>
            <w:r w:rsidRPr="00224D35">
              <w:t xml:space="preserve"> - количество закупок заказчика, объявленных уполномоченным </w:t>
            </w:r>
            <w:r w:rsidRPr="00FF7A64">
              <w:rPr>
                <w:spacing w:val="-6"/>
              </w:rPr>
              <w:t xml:space="preserve">органом на определение поставщиков, подрядчиков, исполнителей, </w:t>
            </w:r>
            <w:proofErr w:type="gramStart"/>
            <w:r w:rsidRPr="00FF7A64">
              <w:rPr>
                <w:spacing w:val="-6"/>
              </w:rPr>
              <w:t>ед.;</w:t>
            </w:r>
            <w:proofErr w:type="gramEnd"/>
          </w:p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596E6D">
              <w:rPr>
                <w:vertAlign w:val="subscript"/>
              </w:rPr>
              <w:t>10</w:t>
            </w:r>
            <w:r w:rsidRPr="00224D35">
              <w:t xml:space="preserve"> &lt; 0,1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545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0,1 ≤ П</w:t>
            </w:r>
            <w:r w:rsidRPr="00596E6D">
              <w:rPr>
                <w:vertAlign w:val="subscript"/>
              </w:rPr>
              <w:t>10</w:t>
            </w:r>
            <w:r w:rsidRPr="00224D35">
              <w:t xml:space="preserve"> </w:t>
            </w:r>
            <w:r w:rsidRPr="00224D35">
              <w:rPr>
                <w:lang w:val="en-US"/>
              </w:rPr>
              <w:t xml:space="preserve">&lt; </w:t>
            </w:r>
            <w:r w:rsidRPr="00224D35">
              <w:t>0,2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75</w:t>
            </w:r>
          </w:p>
        </w:tc>
      </w:tr>
      <w:tr w:rsidR="007732DB" w:rsidRPr="00BF1592" w:rsidTr="00B64736">
        <w:trPr>
          <w:trHeight w:val="544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  <w:rPr>
                <w:lang w:val="en-US"/>
              </w:rPr>
            </w:pPr>
            <w:r w:rsidRPr="00224D35">
              <w:t>0,</w:t>
            </w:r>
            <w:r w:rsidRPr="00224D35">
              <w:rPr>
                <w:lang w:val="en-US"/>
              </w:rPr>
              <w:t>2</w:t>
            </w:r>
            <w:r w:rsidRPr="00224D35">
              <w:t xml:space="preserve"> ≤ П</w:t>
            </w:r>
            <w:r w:rsidRPr="00596E6D">
              <w:rPr>
                <w:vertAlign w:val="subscript"/>
              </w:rPr>
              <w:t>10</w:t>
            </w:r>
            <w:r w:rsidRPr="00224D35">
              <w:t xml:space="preserve"> </w:t>
            </w:r>
            <w:r w:rsidRPr="00224D35">
              <w:rPr>
                <w:lang w:val="en-US"/>
              </w:rPr>
              <w:t xml:space="preserve">&lt; </w:t>
            </w:r>
            <w:r w:rsidRPr="00224D35">
              <w:t>0,</w:t>
            </w:r>
            <w:r w:rsidRPr="00224D35">
              <w:rPr>
                <w:lang w:val="en-US"/>
              </w:rPr>
              <w:t>3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50</w:t>
            </w:r>
          </w:p>
        </w:tc>
      </w:tr>
      <w:tr w:rsidR="007732DB" w:rsidRPr="00BF1592" w:rsidTr="00B64736">
        <w:trPr>
          <w:trHeight w:val="545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596E6D">
              <w:rPr>
                <w:vertAlign w:val="subscript"/>
              </w:rPr>
              <w:t>10</w:t>
            </w:r>
            <w:r w:rsidRPr="00224D35">
              <w:t xml:space="preserve"> ≥ 0,3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</w:t>
            </w:r>
          </w:p>
        </w:tc>
      </w:tr>
      <w:tr w:rsidR="007732DB" w:rsidRPr="00BF1592" w:rsidTr="00B64736">
        <w:trPr>
          <w:trHeight w:val="409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596E6D">
              <w:rPr>
                <w:vertAlign w:val="subscript"/>
              </w:rPr>
              <w:t>11</w:t>
            </w:r>
            <w:r w:rsidRPr="00224D35">
              <w:t xml:space="preserve">. Участие в совместных </w:t>
            </w:r>
            <w:proofErr w:type="gramStart"/>
            <w:r>
              <w:t>конкурсах</w:t>
            </w:r>
            <w:proofErr w:type="gramEnd"/>
            <w:r>
              <w:t xml:space="preserve"> и аукционах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Default="007732DB" w:rsidP="00B64736">
            <w:pPr>
              <w:contextualSpacing/>
              <w:mirrorIndents/>
            </w:pPr>
            <w:r>
              <w:t>П</w:t>
            </w:r>
            <w:r w:rsidRPr="00912692">
              <w:rPr>
                <w:vertAlign w:val="subscript"/>
              </w:rPr>
              <w:t>11</w:t>
            </w:r>
            <w:r>
              <w:t xml:space="preserve"> - количество случаев участия в совместных </w:t>
            </w:r>
            <w:proofErr w:type="gramStart"/>
            <w:r>
              <w:t>конкурсах</w:t>
            </w:r>
            <w:proofErr w:type="gramEnd"/>
            <w:r>
              <w:t xml:space="preserve"> и аукционах;</w:t>
            </w:r>
          </w:p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596E6D">
              <w:rPr>
                <w:vertAlign w:val="subscript"/>
              </w:rPr>
              <w:t>11</w:t>
            </w:r>
            <w:r w:rsidRPr="00224D35">
              <w:t xml:space="preserve"> &gt; 0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409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596E6D">
              <w:rPr>
                <w:vertAlign w:val="subscript"/>
              </w:rPr>
              <w:t>11</w:t>
            </w:r>
            <w:r w:rsidRPr="00224D35">
              <w:t xml:space="preserve"> = 0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</w:t>
            </w:r>
          </w:p>
        </w:tc>
      </w:tr>
      <w:tr w:rsidR="007732DB" w:rsidRPr="00BF1592" w:rsidTr="00B64736">
        <w:trPr>
          <w:trHeight w:val="1643"/>
        </w:trPr>
        <w:tc>
          <w:tcPr>
            <w:tcW w:w="1217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596E6D">
              <w:rPr>
                <w:vertAlign w:val="subscript"/>
              </w:rPr>
              <w:t>12</w:t>
            </w:r>
            <w:r w:rsidRPr="00224D35">
              <w:t>. Доля «малых» закупок проведенных с помощью</w:t>
            </w:r>
            <w:r>
              <w:t xml:space="preserve"> РИС</w:t>
            </w:r>
            <w:r w:rsidRPr="00224D35">
              <w:t xml:space="preserve"> в общей стоимости закупок у ед</w:t>
            </w:r>
            <w:r>
              <w:t>инственного</w:t>
            </w:r>
            <w:r w:rsidRPr="00224D35">
              <w:t xml:space="preserve"> поставщика</w:t>
            </w:r>
          </w:p>
        </w:tc>
        <w:tc>
          <w:tcPr>
            <w:tcW w:w="2460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596E6D">
              <w:rPr>
                <w:vertAlign w:val="subscript"/>
              </w:rPr>
              <w:t>12</w:t>
            </w:r>
            <w:r w:rsidRPr="00224D35">
              <w:t xml:space="preserve"> = </w:t>
            </w:r>
            <w:r>
              <w:t>N</w:t>
            </w:r>
            <w:r w:rsidRPr="00596E6D">
              <w:rPr>
                <w:vertAlign w:val="subscript"/>
              </w:rPr>
              <w:t>19</w:t>
            </w:r>
            <w:r w:rsidRPr="00224D35">
              <w:t xml:space="preserve"> / </w:t>
            </w:r>
            <w:r>
              <w:t>N</w:t>
            </w:r>
            <w:r w:rsidRPr="00596E6D">
              <w:rPr>
                <w:vertAlign w:val="subscript"/>
              </w:rPr>
              <w:t>20</w:t>
            </w:r>
            <w:r w:rsidRPr="00224D35">
              <w:t>, где</w:t>
            </w:r>
          </w:p>
          <w:p w:rsidR="007732DB" w:rsidRPr="00E26CA2" w:rsidRDefault="007732DB" w:rsidP="00B64736">
            <w:pPr>
              <w:contextualSpacing/>
              <w:mirrorIndents/>
            </w:pPr>
            <w:r w:rsidRPr="00E26CA2">
              <w:rPr>
                <w:lang w:val="en-US"/>
              </w:rPr>
              <w:t>N</w:t>
            </w:r>
            <w:r w:rsidRPr="00596E6D">
              <w:rPr>
                <w:vertAlign w:val="subscript"/>
              </w:rPr>
              <w:t>19</w:t>
            </w:r>
            <w:r w:rsidRPr="00E26CA2">
              <w:t xml:space="preserve"> - </w:t>
            </w:r>
            <w:r>
              <w:t>с</w:t>
            </w:r>
            <w:r w:rsidRPr="00AB714C">
              <w:t>тоимость контрактов, заключенных по результатам проведения «малых» за</w:t>
            </w:r>
            <w:r>
              <w:t>купок в РИС в соответствии с п. </w:t>
            </w:r>
            <w:r w:rsidRPr="00AB714C">
              <w:t>4,</w:t>
            </w:r>
            <w:r>
              <w:t> </w:t>
            </w:r>
            <w:r w:rsidRPr="00AB714C">
              <w:t>5 ч.</w:t>
            </w:r>
            <w:r>
              <w:t> </w:t>
            </w:r>
            <w:r w:rsidRPr="00AB714C">
              <w:t>1 ст.</w:t>
            </w:r>
            <w:r>
              <w:t> </w:t>
            </w:r>
            <w:r w:rsidRPr="00AB714C">
              <w:t>93 Ф</w:t>
            </w:r>
            <w:r>
              <w:t>едерального закона № 44-ФЗ, тыс. руб.</w:t>
            </w:r>
            <w:r w:rsidRPr="00E26CA2">
              <w:t>;</w:t>
            </w:r>
          </w:p>
          <w:p w:rsidR="007732DB" w:rsidRPr="00224D35" w:rsidRDefault="007732DB" w:rsidP="00B64736">
            <w:pPr>
              <w:contextualSpacing/>
              <w:mirrorIndents/>
            </w:pPr>
            <w:r w:rsidRPr="00E26CA2">
              <w:rPr>
                <w:lang w:val="en-US"/>
              </w:rPr>
              <w:t>N</w:t>
            </w:r>
            <w:r w:rsidRPr="00596E6D">
              <w:rPr>
                <w:vertAlign w:val="subscript"/>
              </w:rPr>
              <w:t>20</w:t>
            </w:r>
            <w:r w:rsidRPr="00E26CA2">
              <w:t xml:space="preserve"> - стоимость контрактов</w:t>
            </w:r>
            <w:r>
              <w:t xml:space="preserve">, </w:t>
            </w:r>
            <w:r w:rsidRPr="00E26CA2">
              <w:t xml:space="preserve">заключенных с единственным поставщиком в соответствии </w:t>
            </w:r>
            <w:r>
              <w:t xml:space="preserve">с п. 4, 5 ч. 1 </w:t>
            </w:r>
            <w:r w:rsidRPr="00E26CA2">
              <w:t xml:space="preserve">ст. 93 </w:t>
            </w:r>
            <w:r>
              <w:t>Федерального закона № </w:t>
            </w:r>
            <w:r w:rsidRPr="00E26CA2">
              <w:t xml:space="preserve">44-ФЗ за исключением закупок товаров, работ, услуг из перечня, закрепленного в </w:t>
            </w:r>
            <w:proofErr w:type="gramStart"/>
            <w:r w:rsidRPr="00E26CA2">
              <w:t>приложени</w:t>
            </w:r>
            <w:r>
              <w:t>и</w:t>
            </w:r>
            <w:proofErr w:type="gramEnd"/>
            <w:r>
              <w:t> </w:t>
            </w:r>
            <w:r w:rsidRPr="00E26CA2">
              <w:t xml:space="preserve">1 </w:t>
            </w:r>
            <w:r>
              <w:t>приказа УРКС ВО от 03.05.2017 № </w:t>
            </w:r>
            <w:r w:rsidRPr="00E26CA2">
              <w:t>110</w:t>
            </w:r>
            <w:r>
              <w:t> </w:t>
            </w:r>
            <w:r w:rsidRPr="00E26CA2">
              <w:t>о</w:t>
            </w:r>
            <w:r>
              <w:t>/н</w:t>
            </w:r>
            <w:r w:rsidRPr="00E26CA2">
              <w:t xml:space="preserve">, </w:t>
            </w:r>
            <w:r>
              <w:t>тыс. руб.</w:t>
            </w:r>
            <w:r w:rsidRPr="00E26CA2">
              <w:t>;</w:t>
            </w: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596E6D">
              <w:rPr>
                <w:vertAlign w:val="subscript"/>
              </w:rPr>
              <w:t>12</w:t>
            </w:r>
            <w:r w:rsidRPr="00224D35">
              <w:t xml:space="preserve"> </w:t>
            </w:r>
            <w:r w:rsidRPr="00224D35">
              <w:rPr>
                <w:rStyle w:val="tgc"/>
              </w:rPr>
              <w:t>×</w:t>
            </w:r>
            <w:r w:rsidRPr="00224D35">
              <w:t xml:space="preserve"> 100</w:t>
            </w:r>
          </w:p>
        </w:tc>
      </w:tr>
      <w:tr w:rsidR="007732DB" w:rsidRPr="00224D35" w:rsidTr="00B64736">
        <w:trPr>
          <w:trHeight w:val="488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lastRenderedPageBreak/>
              <w:t>П</w:t>
            </w:r>
            <w:r w:rsidRPr="00596E6D">
              <w:rPr>
                <w:vertAlign w:val="subscript"/>
              </w:rPr>
              <w:t>13</w:t>
            </w:r>
            <w:r w:rsidRPr="00224D35">
              <w:t xml:space="preserve">. Относительная экономия бюджетных средств по итогам проведения «малых» закупок в </w:t>
            </w:r>
            <w:r>
              <w:t>РИС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596E6D">
              <w:rPr>
                <w:vertAlign w:val="subscript"/>
              </w:rPr>
              <w:t>13</w:t>
            </w:r>
            <w:r w:rsidRPr="00224D35">
              <w:t xml:space="preserve"> = 1 </w:t>
            </w:r>
            <w:r>
              <w:t>-</w:t>
            </w:r>
            <w:r w:rsidRPr="00224D35">
              <w:t xml:space="preserve"> </w:t>
            </w:r>
            <w:r>
              <w:t>N</w:t>
            </w:r>
            <w:r w:rsidRPr="00596E6D">
              <w:rPr>
                <w:vertAlign w:val="subscript"/>
              </w:rPr>
              <w:t>21</w:t>
            </w:r>
            <w:r w:rsidRPr="00224D35">
              <w:t xml:space="preserve"> / </w:t>
            </w:r>
            <w:r>
              <w:t>N</w:t>
            </w:r>
            <w:r w:rsidRPr="00596E6D">
              <w:rPr>
                <w:vertAlign w:val="subscript"/>
              </w:rPr>
              <w:t>22</w:t>
            </w:r>
            <w:r w:rsidRPr="00224D35">
              <w:t>, где</w:t>
            </w:r>
          </w:p>
          <w:p w:rsidR="007732DB" w:rsidRPr="003D2DAD" w:rsidRDefault="007732DB" w:rsidP="00B64736">
            <w:pPr>
              <w:contextualSpacing/>
              <w:mirrorIndents/>
            </w:pPr>
            <w:r w:rsidRPr="003D2DAD">
              <w:rPr>
                <w:lang w:val="en-US"/>
              </w:rPr>
              <w:t>N</w:t>
            </w:r>
            <w:r w:rsidRPr="003D2DAD">
              <w:rPr>
                <w:vertAlign w:val="subscript"/>
              </w:rPr>
              <w:t>21</w:t>
            </w:r>
            <w:r w:rsidRPr="003D2DAD">
              <w:t xml:space="preserve"> - </w:t>
            </w:r>
            <w:r>
              <w:t>с</w:t>
            </w:r>
            <w:r w:rsidRPr="00AB714C">
              <w:t xml:space="preserve">тоимость контрактов, сложившаяся по результатам проведения </w:t>
            </w:r>
            <w:r>
              <w:t xml:space="preserve">в РИС </w:t>
            </w:r>
            <w:r w:rsidRPr="00AB714C">
              <w:t>процедуры «малых» закупок</w:t>
            </w:r>
            <w:r>
              <w:t xml:space="preserve"> в соответствии с п. 4, </w:t>
            </w:r>
            <w:r w:rsidRPr="00AB714C">
              <w:t>5 ч.</w:t>
            </w:r>
            <w:r>
              <w:t> </w:t>
            </w:r>
            <w:r w:rsidRPr="00AB714C">
              <w:t>1 ст.</w:t>
            </w:r>
            <w:r>
              <w:t> 93 Федерального закона № </w:t>
            </w:r>
            <w:r w:rsidRPr="00AB714C">
              <w:t>44-ФЗ по данным итогового протокола</w:t>
            </w:r>
            <w:r w:rsidRPr="003D2DAD">
              <w:t>, тыс. руб.;</w:t>
            </w:r>
          </w:p>
          <w:p w:rsidR="007732DB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596E6D">
              <w:rPr>
                <w:vertAlign w:val="subscript"/>
              </w:rPr>
              <w:t>22</w:t>
            </w:r>
            <w:r w:rsidRPr="00224D35">
              <w:t xml:space="preserve"> - </w:t>
            </w:r>
            <w:r>
              <w:t>с</w:t>
            </w:r>
            <w:r w:rsidRPr="00AB714C">
              <w:t>умма НМЦК «малых» закупок, проведенных в РИС в соответствии с п.</w:t>
            </w:r>
            <w:r>
              <w:t> </w:t>
            </w:r>
            <w:r w:rsidRPr="00AB714C">
              <w:t>4,</w:t>
            </w:r>
            <w:r>
              <w:t> </w:t>
            </w:r>
            <w:r w:rsidRPr="00AB714C">
              <w:t>5 ч.</w:t>
            </w:r>
            <w:r>
              <w:t> </w:t>
            </w:r>
            <w:r w:rsidRPr="00AB714C">
              <w:t>1 ст.</w:t>
            </w:r>
            <w:r>
              <w:t> </w:t>
            </w:r>
            <w:r w:rsidRPr="00AB714C">
              <w:t>93 Федерального закона №</w:t>
            </w:r>
            <w:r>
              <w:t> </w:t>
            </w:r>
            <w:r w:rsidRPr="00AB714C">
              <w:t>44-ФЗ</w:t>
            </w:r>
            <w:r w:rsidRPr="00224D35">
              <w:t xml:space="preserve">, </w:t>
            </w:r>
            <w:r>
              <w:t>тыс. руб.</w:t>
            </w:r>
            <w:r w:rsidRPr="00224D35">
              <w:t>;</w:t>
            </w:r>
          </w:p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596E6D">
              <w:rPr>
                <w:vertAlign w:val="subscript"/>
              </w:rPr>
              <w:t>13</w:t>
            </w:r>
            <w:r w:rsidRPr="00224D35">
              <w:t xml:space="preserve"> ≥ 0,06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224D35" w:rsidTr="00B64736">
        <w:trPr>
          <w:trHeight w:val="489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0,05 ≤ П</w:t>
            </w:r>
            <w:r w:rsidRPr="00596E6D">
              <w:rPr>
                <w:vertAlign w:val="subscript"/>
              </w:rPr>
              <w:t>13</w:t>
            </w:r>
            <w:r w:rsidRPr="00224D35">
              <w:t xml:space="preserve"> </w:t>
            </w:r>
            <w:r w:rsidRPr="00AB714C">
              <w:t xml:space="preserve">&lt; </w:t>
            </w:r>
            <w:r w:rsidRPr="00224D35">
              <w:t>0,06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75</w:t>
            </w:r>
          </w:p>
        </w:tc>
      </w:tr>
      <w:tr w:rsidR="007732DB" w:rsidRPr="00224D35" w:rsidTr="00B64736">
        <w:trPr>
          <w:trHeight w:val="489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0,04 ≤ П</w:t>
            </w:r>
            <w:r w:rsidRPr="00596E6D">
              <w:rPr>
                <w:vertAlign w:val="subscript"/>
              </w:rPr>
              <w:t>13</w:t>
            </w:r>
            <w:r w:rsidRPr="00224D35">
              <w:t xml:space="preserve"> </w:t>
            </w:r>
            <w:r w:rsidRPr="00AB714C">
              <w:t xml:space="preserve">&lt; </w:t>
            </w:r>
            <w:r w:rsidRPr="00224D35">
              <w:t>0,05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50</w:t>
            </w:r>
          </w:p>
        </w:tc>
      </w:tr>
      <w:tr w:rsidR="007732DB" w:rsidRPr="00224D35" w:rsidTr="00B64736">
        <w:trPr>
          <w:trHeight w:val="489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0,03 ≤ П</w:t>
            </w:r>
            <w:r w:rsidRPr="00596E6D">
              <w:rPr>
                <w:vertAlign w:val="subscript"/>
              </w:rPr>
              <w:t>13</w:t>
            </w:r>
            <w:r w:rsidRPr="00224D35">
              <w:t xml:space="preserve"> </w:t>
            </w:r>
            <w:r w:rsidRPr="00AB714C">
              <w:t xml:space="preserve">&lt; </w:t>
            </w:r>
            <w:r w:rsidRPr="00224D35">
              <w:t>0,04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25</w:t>
            </w:r>
          </w:p>
        </w:tc>
      </w:tr>
      <w:tr w:rsidR="007732DB" w:rsidRPr="00224D35" w:rsidTr="00B64736">
        <w:trPr>
          <w:trHeight w:val="489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596E6D">
              <w:rPr>
                <w:vertAlign w:val="subscript"/>
              </w:rPr>
              <w:t>13</w:t>
            </w:r>
            <w:r w:rsidRPr="00224D35">
              <w:t xml:space="preserve"> &lt; 0,03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</w:t>
            </w:r>
          </w:p>
        </w:tc>
      </w:tr>
      <w:tr w:rsidR="007732DB" w:rsidRPr="00BF1592" w:rsidTr="00B64736">
        <w:tc>
          <w:tcPr>
            <w:tcW w:w="5000" w:type="pct"/>
            <w:gridSpan w:val="4"/>
            <w:shd w:val="clear" w:color="auto" w:fill="auto"/>
            <w:vAlign w:val="center"/>
          </w:tcPr>
          <w:p w:rsidR="007732DB" w:rsidRDefault="007732DB" w:rsidP="00B64736">
            <w:pPr>
              <w:contextualSpacing/>
              <w:mirrorIndents/>
              <w:jc w:val="center"/>
            </w:pPr>
            <w:r w:rsidRPr="00224D35">
              <w:t>К</w:t>
            </w:r>
            <w:r w:rsidRPr="00D04608">
              <w:rPr>
                <w:vertAlign w:val="subscript"/>
              </w:rPr>
              <w:t>3</w:t>
            </w:r>
            <w:r w:rsidRPr="00224D35">
              <w:t>. Эффективность исполнения контрактов</w:t>
            </w:r>
            <w:r>
              <w:t>:</w:t>
            </w:r>
          </w:p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D04608">
              <w:t>К</w:t>
            </w:r>
            <w:r w:rsidRPr="00D04608">
              <w:rPr>
                <w:vertAlign w:val="subscript"/>
              </w:rPr>
              <w:t>3</w:t>
            </w:r>
            <w:r w:rsidRPr="00D04608">
              <w:t xml:space="preserve"> = П</w:t>
            </w:r>
            <w:r w:rsidRPr="00D04608">
              <w:rPr>
                <w:vertAlign w:val="subscript"/>
              </w:rPr>
              <w:t>14</w:t>
            </w:r>
            <w:r>
              <w:t xml:space="preserve"> × </w:t>
            </w:r>
            <w:r w:rsidRPr="00D04608">
              <w:t>0,4 + П</w:t>
            </w:r>
            <w:r w:rsidRPr="00D04608">
              <w:rPr>
                <w:vertAlign w:val="subscript"/>
              </w:rPr>
              <w:t>15</w:t>
            </w:r>
            <w:r>
              <w:t xml:space="preserve"> × </w:t>
            </w:r>
            <w:r w:rsidRPr="00D04608">
              <w:t>0,2 + П</w:t>
            </w:r>
            <w:r w:rsidRPr="00D04608">
              <w:rPr>
                <w:vertAlign w:val="subscript"/>
              </w:rPr>
              <w:t>16</w:t>
            </w:r>
            <w:r>
              <w:t xml:space="preserve"> × </w:t>
            </w:r>
            <w:r w:rsidRPr="00D04608">
              <w:t>0,4</w:t>
            </w:r>
          </w:p>
        </w:tc>
      </w:tr>
      <w:tr w:rsidR="007732DB" w:rsidRPr="00BF1592" w:rsidTr="00B64736">
        <w:trPr>
          <w:trHeight w:val="961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8705C6">
              <w:rPr>
                <w:vertAlign w:val="subscript"/>
              </w:rPr>
              <w:t>14</w:t>
            </w:r>
            <w:r w:rsidRPr="00224D35">
              <w:t xml:space="preserve">. Доля </w:t>
            </w:r>
            <w:r w:rsidRPr="008705C6">
              <w:rPr>
                <w:spacing w:val="-2"/>
              </w:rPr>
              <w:t xml:space="preserve">контрактов в </w:t>
            </w:r>
            <w:proofErr w:type="gramStart"/>
            <w:r w:rsidRPr="00224D35">
              <w:t>реестре</w:t>
            </w:r>
            <w:proofErr w:type="gramEnd"/>
            <w:r w:rsidRPr="00224D35">
              <w:t xml:space="preserve"> контрактов</w:t>
            </w:r>
            <w:r>
              <w:t xml:space="preserve">, </w:t>
            </w:r>
            <w:r w:rsidRPr="00224D35">
              <w:t>заключенных</w:t>
            </w:r>
            <w:r>
              <w:t xml:space="preserve"> заказчиками,</w:t>
            </w:r>
            <w:r w:rsidRPr="008705C6">
              <w:rPr>
                <w:spacing w:val="-2"/>
              </w:rPr>
              <w:t xml:space="preserve"> зарегистрированных с нарушением срока регистрации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14</w:t>
            </w:r>
            <w:r w:rsidRPr="00224D35">
              <w:t xml:space="preserve"> = </w:t>
            </w:r>
            <w:r>
              <w:t>N</w:t>
            </w:r>
            <w:r w:rsidRPr="008705C6">
              <w:rPr>
                <w:vertAlign w:val="subscript"/>
              </w:rPr>
              <w:t>23</w:t>
            </w:r>
            <w:r w:rsidRPr="00224D35">
              <w:t xml:space="preserve"> / </w:t>
            </w:r>
            <w:r>
              <w:t>N</w:t>
            </w:r>
            <w:r w:rsidRPr="008705C6">
              <w:rPr>
                <w:vertAlign w:val="subscript"/>
              </w:rPr>
              <w:t>24</w:t>
            </w:r>
            <w:r w:rsidRPr="00224D35">
              <w:t>, где</w:t>
            </w:r>
          </w:p>
          <w:p w:rsidR="007732DB" w:rsidRPr="008705C6" w:rsidRDefault="007732DB" w:rsidP="00B64736">
            <w:pPr>
              <w:contextualSpacing/>
              <w:mirrorIndents/>
              <w:rPr>
                <w:spacing w:val="-2"/>
              </w:rPr>
            </w:pPr>
            <w:r w:rsidRPr="008705C6">
              <w:rPr>
                <w:spacing w:val="-2"/>
                <w:lang w:val="en-US"/>
              </w:rPr>
              <w:t>N</w:t>
            </w:r>
            <w:r w:rsidRPr="008705C6">
              <w:rPr>
                <w:spacing w:val="-2"/>
                <w:vertAlign w:val="subscript"/>
              </w:rPr>
              <w:t>23</w:t>
            </w:r>
            <w:r>
              <w:rPr>
                <w:spacing w:val="-2"/>
              </w:rPr>
              <w:t xml:space="preserve"> - количество контрактов</w:t>
            </w:r>
            <w:r w:rsidRPr="008705C6">
              <w:rPr>
                <w:spacing w:val="-2"/>
              </w:rPr>
              <w:t xml:space="preserve"> в </w:t>
            </w:r>
            <w:r w:rsidRPr="00224D35">
              <w:t>реестре контрактов</w:t>
            </w:r>
            <w:r>
              <w:t xml:space="preserve">, </w:t>
            </w:r>
            <w:r w:rsidRPr="00224D35">
              <w:t>заключенных</w:t>
            </w:r>
            <w:r>
              <w:t xml:space="preserve"> заказчиками</w:t>
            </w:r>
            <w:r w:rsidRPr="008705C6">
              <w:rPr>
                <w:spacing w:val="-2"/>
              </w:rPr>
              <w:t>,</w:t>
            </w:r>
            <w:r>
              <w:rPr>
                <w:spacing w:val="-2"/>
              </w:rPr>
              <w:t xml:space="preserve"> </w:t>
            </w:r>
            <w:r w:rsidRPr="008705C6">
              <w:rPr>
                <w:spacing w:val="-2"/>
              </w:rPr>
              <w:t xml:space="preserve">зарегистрированных с нарушением срока регистрации </w:t>
            </w:r>
            <w:proofErr w:type="gramStart"/>
            <w:r w:rsidRPr="008705C6">
              <w:rPr>
                <w:spacing w:val="-2"/>
              </w:rPr>
              <w:t>ед.;</w:t>
            </w:r>
            <w:proofErr w:type="gramEnd"/>
          </w:p>
          <w:p w:rsidR="007732DB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8705C6">
              <w:rPr>
                <w:vertAlign w:val="subscript"/>
              </w:rPr>
              <w:t>24</w:t>
            </w:r>
            <w:r w:rsidRPr="00224D35">
              <w:t xml:space="preserve"> - количество контрактов, зарегистрированных в реестре контрактов</w:t>
            </w:r>
            <w:r>
              <w:t xml:space="preserve">, </w:t>
            </w:r>
            <w:r w:rsidRPr="00224D35">
              <w:t>заключенных</w:t>
            </w:r>
            <w:r>
              <w:t xml:space="preserve"> заказчиками</w:t>
            </w:r>
            <w:r w:rsidRPr="00224D35">
              <w:t xml:space="preserve">, </w:t>
            </w:r>
            <w:proofErr w:type="gramStart"/>
            <w:r w:rsidRPr="00224D35">
              <w:t>ед.;</w:t>
            </w:r>
            <w:proofErr w:type="gramEnd"/>
          </w:p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</w:t>
            </w:r>
            <w:r w:rsidRPr="008705C6">
              <w:rPr>
                <w:vertAlign w:val="subscript"/>
                <w:lang w:val="en-US"/>
              </w:rPr>
              <w:t>4</w:t>
            </w:r>
            <w:r w:rsidRPr="00224D35">
              <w:t xml:space="preserve"> ≤ 0</w:t>
            </w:r>
            <w:r>
              <w:t>,05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961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</w:t>
            </w:r>
            <w:r w:rsidRPr="008705C6">
              <w:rPr>
                <w:vertAlign w:val="subscript"/>
                <w:lang w:val="en-US"/>
              </w:rPr>
              <w:t>4</w:t>
            </w:r>
            <w:r w:rsidRPr="00224D35">
              <w:t xml:space="preserve"> </w:t>
            </w:r>
            <w:r>
              <w:rPr>
                <w:lang w:val="en-US"/>
              </w:rPr>
              <w:t>&gt;</w:t>
            </w:r>
            <w:r w:rsidRPr="00224D35">
              <w:t xml:space="preserve"> 0,05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7732DB" w:rsidRPr="00BF1592" w:rsidTr="00B64736">
        <w:trPr>
          <w:trHeight w:val="406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8705C6">
              <w:rPr>
                <w:vertAlign w:val="subscript"/>
              </w:rPr>
              <w:t>15</w:t>
            </w:r>
            <w:r w:rsidRPr="00224D35">
              <w:t xml:space="preserve">. Доля </w:t>
            </w:r>
            <w:r>
              <w:t>неисполненных обязательств</w:t>
            </w:r>
            <w:r w:rsidRPr="00224D35">
              <w:t xml:space="preserve"> </w:t>
            </w:r>
            <w:r>
              <w:t>в общей стоимости</w:t>
            </w:r>
            <w:r w:rsidRPr="00224D35">
              <w:t xml:space="preserve"> </w:t>
            </w:r>
            <w:r>
              <w:t xml:space="preserve">контрактов, </w:t>
            </w:r>
            <w:r w:rsidRPr="00224D35">
              <w:t>заключенных конкурентными способами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15</w:t>
            </w:r>
            <w:r w:rsidRPr="00224D35">
              <w:t xml:space="preserve"> = </w:t>
            </w:r>
            <w:r>
              <w:t>N</w:t>
            </w:r>
            <w:r w:rsidRPr="008705C6">
              <w:rPr>
                <w:vertAlign w:val="subscript"/>
              </w:rPr>
              <w:t>25</w:t>
            </w:r>
            <w:r w:rsidRPr="00224D35">
              <w:t xml:space="preserve"> / N</w:t>
            </w:r>
            <w:r w:rsidRPr="008705C6">
              <w:rPr>
                <w:vertAlign w:val="subscript"/>
              </w:rPr>
              <w:t>6</w:t>
            </w:r>
            <w:r w:rsidRPr="00224D35">
              <w:t>, где</w:t>
            </w:r>
          </w:p>
          <w:p w:rsidR="007732DB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8705C6">
              <w:rPr>
                <w:vertAlign w:val="subscript"/>
              </w:rPr>
              <w:t>25</w:t>
            </w:r>
            <w:r w:rsidRPr="00224D35">
              <w:t xml:space="preserve"> </w:t>
            </w:r>
            <w:r>
              <w:t>-</w:t>
            </w:r>
            <w:r w:rsidRPr="00224D35">
              <w:t xml:space="preserve"> </w:t>
            </w:r>
            <w:r>
              <w:t>сумма неисполненных обязательств по</w:t>
            </w:r>
            <w:r w:rsidRPr="00224D35">
              <w:t xml:space="preserve"> </w:t>
            </w:r>
            <w:r>
              <w:t xml:space="preserve">расторгнутым </w:t>
            </w:r>
            <w:r w:rsidRPr="00224D35">
              <w:t>контракт</w:t>
            </w:r>
            <w:r>
              <w:t>ам</w:t>
            </w:r>
            <w:r w:rsidRPr="00224D35">
              <w:t>, заключенны</w:t>
            </w:r>
            <w:r>
              <w:t>м</w:t>
            </w:r>
            <w:r w:rsidRPr="00224D35">
              <w:t xml:space="preserve"> конкурентными способами</w:t>
            </w:r>
            <w:r>
              <w:t xml:space="preserve"> в отчетном периоде, за исключением контрактов, расторгнутых заказчиком в одностороннем порядке</w:t>
            </w:r>
            <w:r w:rsidRPr="00224D35">
              <w:t xml:space="preserve">, </w:t>
            </w:r>
            <w:r>
              <w:t>тыс. руб.</w:t>
            </w:r>
            <w:r w:rsidRPr="00224D35">
              <w:t>;</w:t>
            </w:r>
          </w:p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8705C6" w:rsidRDefault="007732DB" w:rsidP="00B64736">
            <w:pPr>
              <w:contextualSpacing/>
              <w:mirrorIndents/>
              <w:jc w:val="center"/>
              <w:rPr>
                <w:lang w:val="en-US"/>
              </w:rPr>
            </w:pPr>
            <w:r w:rsidRPr="00224D35">
              <w:t>П</w:t>
            </w:r>
            <w:r w:rsidRPr="008705C6">
              <w:rPr>
                <w:vertAlign w:val="subscript"/>
              </w:rPr>
              <w:t>15</w:t>
            </w:r>
            <w:r>
              <w:t xml:space="preserve"> &lt; 0,0</w:t>
            </w:r>
            <w:r>
              <w:rPr>
                <w:lang w:val="en-US"/>
              </w:rPr>
              <w:t>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407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0,05 ≤ П</w:t>
            </w:r>
            <w:r w:rsidRPr="008705C6">
              <w:rPr>
                <w:vertAlign w:val="subscript"/>
              </w:rPr>
              <w:t>15</w:t>
            </w:r>
            <w:r w:rsidRPr="00224D35">
              <w:t xml:space="preserve"> </w:t>
            </w:r>
            <w:r w:rsidRPr="00224D35">
              <w:rPr>
                <w:lang w:val="en-US"/>
              </w:rPr>
              <w:t xml:space="preserve">&lt; </w:t>
            </w:r>
            <w:r w:rsidRPr="00224D35">
              <w:t>0,15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75</w:t>
            </w:r>
          </w:p>
        </w:tc>
      </w:tr>
      <w:tr w:rsidR="007732DB" w:rsidRPr="00BF1592" w:rsidTr="00B64736">
        <w:trPr>
          <w:trHeight w:val="406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0,</w:t>
            </w:r>
            <w:r w:rsidRPr="00224D35">
              <w:rPr>
                <w:lang w:val="en-US"/>
              </w:rPr>
              <w:t>1</w:t>
            </w:r>
            <w:r w:rsidRPr="00224D35">
              <w:t>5 ≤ П</w:t>
            </w:r>
            <w:r w:rsidRPr="008705C6">
              <w:rPr>
                <w:vertAlign w:val="subscript"/>
              </w:rPr>
              <w:t>15</w:t>
            </w:r>
            <w:r w:rsidRPr="00224D35">
              <w:t xml:space="preserve"> </w:t>
            </w:r>
            <w:r w:rsidRPr="00224D35">
              <w:rPr>
                <w:lang w:val="en-US"/>
              </w:rPr>
              <w:t xml:space="preserve">&lt; </w:t>
            </w:r>
            <w:r w:rsidRPr="00224D35">
              <w:t>0,</w:t>
            </w:r>
            <w:r w:rsidRPr="00224D35">
              <w:rPr>
                <w:lang w:val="en-US"/>
              </w:rPr>
              <w:t>2</w:t>
            </w:r>
            <w:r w:rsidRPr="00224D35">
              <w:t>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50</w:t>
            </w:r>
          </w:p>
        </w:tc>
      </w:tr>
      <w:tr w:rsidR="007732DB" w:rsidRPr="00BF1592" w:rsidTr="00B64736">
        <w:trPr>
          <w:trHeight w:val="407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15</w:t>
            </w:r>
            <w:r w:rsidRPr="00224D35">
              <w:t xml:space="preserve"> ≥ 0,25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</w:t>
            </w:r>
          </w:p>
        </w:tc>
      </w:tr>
      <w:tr w:rsidR="007732DB" w:rsidRPr="00BF1592" w:rsidTr="00B64736">
        <w:trPr>
          <w:trHeight w:val="1256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8705C6">
              <w:rPr>
                <w:vertAlign w:val="subscript"/>
              </w:rPr>
              <w:t>16</w:t>
            </w:r>
            <w:r w:rsidRPr="00224D35">
              <w:t>. Доля исполненных контрактов, по которым отсутствует информация об их исполнении в реестре контрактов</w:t>
            </w:r>
            <w:r>
              <w:t>, заключенных заказчиками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16</w:t>
            </w:r>
            <w:r w:rsidRPr="00224D35">
              <w:t xml:space="preserve"> = </w:t>
            </w:r>
            <w:r>
              <w:t>N</w:t>
            </w:r>
            <w:r w:rsidRPr="008705C6">
              <w:rPr>
                <w:vertAlign w:val="subscript"/>
              </w:rPr>
              <w:t>26</w:t>
            </w:r>
            <w:r w:rsidRPr="00224D35">
              <w:t xml:space="preserve"> / </w:t>
            </w:r>
            <w:r>
              <w:t>N</w:t>
            </w:r>
            <w:r w:rsidRPr="008705C6">
              <w:rPr>
                <w:vertAlign w:val="subscript"/>
              </w:rPr>
              <w:t>24</w:t>
            </w:r>
            <w:r w:rsidRPr="00224D35">
              <w:t>, где</w:t>
            </w:r>
          </w:p>
          <w:p w:rsidR="007732DB" w:rsidRPr="00224D35" w:rsidRDefault="007732DB" w:rsidP="00B64736">
            <w:pPr>
              <w:contextualSpacing/>
              <w:mirrorIndents/>
            </w:pPr>
            <w:r>
              <w:t>N</w:t>
            </w:r>
            <w:r w:rsidRPr="008705C6">
              <w:rPr>
                <w:vertAlign w:val="subscript"/>
              </w:rPr>
              <w:t>26</w:t>
            </w:r>
            <w:r w:rsidRPr="00224D35">
              <w:t xml:space="preserve"> - </w:t>
            </w:r>
            <w:r>
              <w:t>к</w:t>
            </w:r>
            <w:r w:rsidRPr="00224D35">
              <w:t xml:space="preserve">оличество исполненных контрактов, по которым </w:t>
            </w:r>
            <w:r>
              <w:t xml:space="preserve">по истечение трех рабочих дней </w:t>
            </w:r>
            <w:r w:rsidRPr="00224D35">
              <w:t xml:space="preserve">отсутствует </w:t>
            </w:r>
            <w:r>
              <w:t xml:space="preserve">информация об исполнении </w:t>
            </w:r>
            <w:r w:rsidRPr="00224D35">
              <w:t>в реестре контрактов</w:t>
            </w:r>
            <w:r>
              <w:t>, заключенных заказчиками</w:t>
            </w:r>
            <w:r w:rsidRPr="00224D35">
              <w:t>, ед.;</w:t>
            </w: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16</w:t>
            </w:r>
            <w:r w:rsidRPr="00224D35">
              <w:t xml:space="preserve"> ≤ 0</w:t>
            </w:r>
            <w:r>
              <w:t>,05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1256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16</w:t>
            </w:r>
            <w:r w:rsidRPr="00224D35">
              <w:t xml:space="preserve"> </w:t>
            </w:r>
            <w:r>
              <w:rPr>
                <w:lang w:val="en-US"/>
              </w:rPr>
              <w:t>&gt;</w:t>
            </w:r>
            <w:r w:rsidRPr="00224D35">
              <w:t xml:space="preserve"> 0,05</w:t>
            </w:r>
          </w:p>
        </w:tc>
        <w:tc>
          <w:tcPr>
            <w:tcW w:w="625" w:type="pct"/>
            <w:shd w:val="clear" w:color="auto" w:fill="auto"/>
          </w:tcPr>
          <w:p w:rsidR="007732DB" w:rsidRPr="00365988" w:rsidRDefault="007732DB" w:rsidP="00B64736">
            <w:pPr>
              <w:contextualSpacing/>
              <w:mirrorIndents/>
              <w:jc w:val="center"/>
            </w:pPr>
            <w:r>
              <w:t>0</w:t>
            </w:r>
          </w:p>
        </w:tc>
      </w:tr>
      <w:tr w:rsidR="007732DB" w:rsidRPr="00BF1592" w:rsidTr="00B64736">
        <w:tc>
          <w:tcPr>
            <w:tcW w:w="5000" w:type="pct"/>
            <w:gridSpan w:val="4"/>
            <w:shd w:val="clear" w:color="auto" w:fill="auto"/>
            <w:vAlign w:val="center"/>
          </w:tcPr>
          <w:p w:rsidR="007732DB" w:rsidRDefault="007732DB" w:rsidP="00B64736">
            <w:pPr>
              <w:contextualSpacing/>
              <w:mirrorIndents/>
              <w:jc w:val="center"/>
            </w:pPr>
            <w:r w:rsidRPr="00224D35">
              <w:lastRenderedPageBreak/>
              <w:t>К</w:t>
            </w:r>
            <w:r w:rsidRPr="00D04608">
              <w:rPr>
                <w:vertAlign w:val="subscript"/>
              </w:rPr>
              <w:t>4г</w:t>
            </w:r>
            <w:r w:rsidRPr="00224D35">
              <w:t>. Исполнение требований законодательства о закупках</w:t>
            </w:r>
            <w:r>
              <w:t xml:space="preserve"> (</w:t>
            </w:r>
            <w:proofErr w:type="gramStart"/>
            <w:r>
              <w:t>годовая</w:t>
            </w:r>
            <w:proofErr w:type="gramEnd"/>
            <w:r>
              <w:t>):</w:t>
            </w:r>
          </w:p>
          <w:p w:rsidR="007732DB" w:rsidRDefault="007732DB" w:rsidP="00B64736">
            <w:pPr>
              <w:contextualSpacing/>
              <w:mirrorIndents/>
              <w:jc w:val="center"/>
            </w:pPr>
            <w:r w:rsidRPr="00224D35">
              <w:t>К</w:t>
            </w:r>
            <w:r w:rsidRPr="00D04608">
              <w:rPr>
                <w:vertAlign w:val="subscript"/>
              </w:rPr>
              <w:t>4г</w:t>
            </w:r>
            <w:r w:rsidRPr="00D04608">
              <w:t xml:space="preserve"> </w:t>
            </w:r>
            <w:r>
              <w:t xml:space="preserve">= </w:t>
            </w:r>
            <w:r w:rsidRPr="00D04608">
              <w:t>П</w:t>
            </w:r>
            <w:r w:rsidRPr="00D04608">
              <w:rPr>
                <w:vertAlign w:val="subscript"/>
              </w:rPr>
              <w:t>17</w:t>
            </w:r>
            <w:r>
              <w:t xml:space="preserve"> </w:t>
            </w:r>
            <w:r w:rsidRPr="00D04608">
              <w:t>*</w:t>
            </w:r>
            <w:r>
              <w:t xml:space="preserve"> </w:t>
            </w:r>
            <w:r w:rsidRPr="00D04608">
              <w:t>0,2 + П</w:t>
            </w:r>
            <w:r w:rsidRPr="00D04608">
              <w:rPr>
                <w:vertAlign w:val="subscript"/>
              </w:rPr>
              <w:t>18</w:t>
            </w:r>
            <w:r>
              <w:t xml:space="preserve"> </w:t>
            </w:r>
            <w:r w:rsidRPr="00D04608">
              <w:t>*</w:t>
            </w:r>
            <w:r>
              <w:t xml:space="preserve"> </w:t>
            </w:r>
            <w:r w:rsidRPr="00D04608">
              <w:t>0,2 + П</w:t>
            </w:r>
            <w:r w:rsidRPr="00D04608">
              <w:rPr>
                <w:vertAlign w:val="subscript"/>
              </w:rPr>
              <w:t>19</w:t>
            </w:r>
            <w:r>
              <w:t xml:space="preserve"> </w:t>
            </w:r>
            <w:r w:rsidRPr="00D04608">
              <w:t>*</w:t>
            </w:r>
            <w:r>
              <w:t xml:space="preserve"> </w:t>
            </w:r>
            <w:r w:rsidRPr="00D04608">
              <w:t>0,2 + П</w:t>
            </w:r>
            <w:r w:rsidRPr="00D04608">
              <w:rPr>
                <w:vertAlign w:val="subscript"/>
              </w:rPr>
              <w:t>20</w:t>
            </w:r>
            <w:r>
              <w:t xml:space="preserve"> </w:t>
            </w:r>
            <w:r w:rsidRPr="00D04608">
              <w:t>*</w:t>
            </w:r>
            <w:r>
              <w:t xml:space="preserve"> </w:t>
            </w:r>
            <w:r w:rsidRPr="00D04608">
              <w:t>0,2 + П</w:t>
            </w:r>
            <w:r w:rsidRPr="00D04608">
              <w:rPr>
                <w:vertAlign w:val="subscript"/>
              </w:rPr>
              <w:t>21</w:t>
            </w:r>
            <w:r>
              <w:t xml:space="preserve"> </w:t>
            </w:r>
            <w:r w:rsidRPr="00D04608">
              <w:t>*</w:t>
            </w:r>
            <w:r>
              <w:t xml:space="preserve"> </w:t>
            </w:r>
            <w:r w:rsidRPr="00D04608">
              <w:t>0,2</w:t>
            </w:r>
          </w:p>
          <w:p w:rsidR="007732DB" w:rsidRDefault="007732DB" w:rsidP="00B64736">
            <w:pPr>
              <w:contextualSpacing/>
              <w:mirrorIndents/>
              <w:jc w:val="center"/>
            </w:pPr>
            <w:r w:rsidRPr="00224D35">
              <w:t>К</w:t>
            </w:r>
            <w:r w:rsidRPr="00D04608">
              <w:rPr>
                <w:vertAlign w:val="subscript"/>
              </w:rPr>
              <w:t>4</w:t>
            </w:r>
            <w:r>
              <w:rPr>
                <w:vertAlign w:val="subscript"/>
              </w:rPr>
              <w:t>к</w:t>
            </w:r>
            <w:r w:rsidRPr="00224D35">
              <w:t>. Исполнение требований законодательства о закупках</w:t>
            </w:r>
            <w:r>
              <w:t xml:space="preserve"> (</w:t>
            </w:r>
            <w:proofErr w:type="gramStart"/>
            <w:r>
              <w:t>квартальная</w:t>
            </w:r>
            <w:proofErr w:type="gramEnd"/>
            <w:r>
              <w:t>):</w:t>
            </w:r>
          </w:p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К</w:t>
            </w:r>
            <w:r w:rsidRPr="00D04608">
              <w:rPr>
                <w:vertAlign w:val="subscript"/>
              </w:rPr>
              <w:t>4</w:t>
            </w:r>
            <w:r>
              <w:rPr>
                <w:vertAlign w:val="subscript"/>
              </w:rPr>
              <w:t>к</w:t>
            </w:r>
            <w:r w:rsidRPr="00D04608">
              <w:t xml:space="preserve"> </w:t>
            </w:r>
            <w:r>
              <w:t xml:space="preserve">= </w:t>
            </w:r>
            <w:r w:rsidRPr="00D04608">
              <w:t>П</w:t>
            </w:r>
            <w:r w:rsidRPr="00D04608">
              <w:rPr>
                <w:vertAlign w:val="subscript"/>
              </w:rPr>
              <w:t>20</w:t>
            </w:r>
            <w:r>
              <w:t xml:space="preserve"> </w:t>
            </w:r>
            <w:r w:rsidRPr="00D04608">
              <w:t>*</w:t>
            </w:r>
            <w:r>
              <w:t xml:space="preserve"> </w:t>
            </w:r>
            <w:r w:rsidRPr="00D04608">
              <w:t>0,</w:t>
            </w:r>
            <w:r>
              <w:t>5</w:t>
            </w:r>
            <w:r w:rsidRPr="00D04608">
              <w:t xml:space="preserve"> + П</w:t>
            </w:r>
            <w:r w:rsidRPr="00D04608">
              <w:rPr>
                <w:vertAlign w:val="subscript"/>
              </w:rPr>
              <w:t>21</w:t>
            </w:r>
            <w:r>
              <w:t xml:space="preserve"> </w:t>
            </w:r>
            <w:r w:rsidRPr="00D04608">
              <w:t>*</w:t>
            </w:r>
            <w:r>
              <w:t xml:space="preserve"> </w:t>
            </w:r>
            <w:r w:rsidRPr="00D04608">
              <w:t>0,</w:t>
            </w:r>
            <w:r>
              <w:t>5</w:t>
            </w:r>
          </w:p>
        </w:tc>
      </w:tr>
      <w:tr w:rsidR="007732DB" w:rsidRPr="00BF1592" w:rsidTr="00B64736">
        <w:trPr>
          <w:trHeight w:val="637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8705C6">
              <w:rPr>
                <w:vertAlign w:val="subscript"/>
              </w:rPr>
              <w:t>17</w:t>
            </w:r>
            <w:r w:rsidRPr="00224D35">
              <w:t>. Доля закупок у СМП и СОНКО в СГОЗ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17</w:t>
            </w:r>
            <w:r w:rsidRPr="00224D35">
              <w:t xml:space="preserve"> = N</w:t>
            </w:r>
            <w:r w:rsidRPr="008705C6">
              <w:rPr>
                <w:vertAlign w:val="subscript"/>
              </w:rPr>
              <w:t>27</w:t>
            </w:r>
            <w:r w:rsidRPr="00224D35">
              <w:t xml:space="preserve"> / </w:t>
            </w:r>
            <w:r>
              <w:t>N</w:t>
            </w:r>
            <w:r w:rsidRPr="008705C6">
              <w:rPr>
                <w:vertAlign w:val="subscript"/>
              </w:rPr>
              <w:t>28</w:t>
            </w:r>
            <w:r w:rsidRPr="00224D35">
              <w:t>, где</w:t>
            </w:r>
          </w:p>
          <w:p w:rsidR="007732DB" w:rsidRPr="00224D35" w:rsidRDefault="007732DB" w:rsidP="00B64736">
            <w:pPr>
              <w:contextualSpacing/>
              <w:mirrorIndents/>
            </w:pPr>
            <w:r w:rsidRPr="00224D35">
              <w:rPr>
                <w:lang w:val="en-US"/>
              </w:rPr>
              <w:t>N</w:t>
            </w:r>
            <w:r w:rsidRPr="008705C6">
              <w:rPr>
                <w:vertAlign w:val="subscript"/>
              </w:rPr>
              <w:t>27</w:t>
            </w:r>
            <w:r w:rsidRPr="00224D35">
              <w:t xml:space="preserve"> - </w:t>
            </w:r>
            <w:r w:rsidRPr="003D7E95">
              <w:rPr>
                <w:spacing w:val="-4"/>
              </w:rPr>
              <w:t>стоимость заключенных контрактов с СМП и СОНКО</w:t>
            </w:r>
            <w:r>
              <w:rPr>
                <w:spacing w:val="-4"/>
              </w:rPr>
              <w:t xml:space="preserve">, </w:t>
            </w:r>
            <w:r w:rsidRPr="00FF7A64">
              <w:rPr>
                <w:spacing w:val="-2"/>
              </w:rPr>
              <w:t>рассчитанная в соответствии со ст. 30 Федерального закона № 44-ФЗ</w:t>
            </w:r>
            <w:r w:rsidRPr="003D7E95">
              <w:rPr>
                <w:spacing w:val="-4"/>
              </w:rPr>
              <w:t>, тыс. руб.;</w:t>
            </w:r>
          </w:p>
          <w:p w:rsidR="007732DB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8705C6">
              <w:rPr>
                <w:vertAlign w:val="subscript"/>
              </w:rPr>
              <w:t>28</w:t>
            </w:r>
            <w:r w:rsidRPr="00224D35">
              <w:t xml:space="preserve"> - совокупный годовой объе</w:t>
            </w:r>
            <w:r>
              <w:t>м закупок, рассчитанный в соответствии со ст. </w:t>
            </w:r>
            <w:r w:rsidRPr="00224D35">
              <w:t xml:space="preserve">30 </w:t>
            </w:r>
            <w:r>
              <w:t>Федерального закона № </w:t>
            </w:r>
            <w:r w:rsidRPr="00E26CA2">
              <w:t>44-ФЗ</w:t>
            </w:r>
            <w:r w:rsidRPr="00224D35">
              <w:t xml:space="preserve">, </w:t>
            </w:r>
            <w:r>
              <w:t>тыс. руб.</w:t>
            </w:r>
            <w:r w:rsidRPr="00224D35">
              <w:t>;</w:t>
            </w:r>
          </w:p>
          <w:p w:rsidR="007732DB" w:rsidRPr="002C735F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17</w:t>
            </w:r>
            <w:r w:rsidRPr="00224D35">
              <w:t xml:space="preserve"> ≥ 0,3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637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0,15 ≤ П</w:t>
            </w:r>
            <w:r w:rsidRPr="008705C6">
              <w:rPr>
                <w:vertAlign w:val="subscript"/>
              </w:rPr>
              <w:t>17</w:t>
            </w:r>
            <w:r w:rsidRPr="00224D35">
              <w:t xml:space="preserve"> </w:t>
            </w:r>
            <w:r w:rsidRPr="003D7E95">
              <w:t xml:space="preserve">&lt; </w:t>
            </w:r>
            <w:r w:rsidRPr="00224D35">
              <w:t>0,3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75</w:t>
            </w:r>
          </w:p>
        </w:tc>
      </w:tr>
      <w:tr w:rsidR="007732DB" w:rsidRPr="00BF1592" w:rsidTr="00B64736">
        <w:trPr>
          <w:trHeight w:val="638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17</w:t>
            </w:r>
            <w:r w:rsidRPr="00224D35">
              <w:t xml:space="preserve"> &lt; 0,15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</w:t>
            </w:r>
          </w:p>
        </w:tc>
      </w:tr>
      <w:tr w:rsidR="007732DB" w:rsidRPr="00BF1592" w:rsidTr="00B64736">
        <w:trPr>
          <w:trHeight w:val="685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8705C6">
              <w:rPr>
                <w:vertAlign w:val="subscript"/>
              </w:rPr>
              <w:t>18</w:t>
            </w:r>
            <w:r w:rsidRPr="00224D35">
              <w:t>. Доля закупок проведенных запросом котировок в СГОЗ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18</w:t>
            </w:r>
            <w:r w:rsidRPr="00224D35">
              <w:t xml:space="preserve"> = </w:t>
            </w:r>
            <w:r>
              <w:t>N</w:t>
            </w:r>
            <w:r w:rsidRPr="008705C6">
              <w:rPr>
                <w:vertAlign w:val="subscript"/>
              </w:rPr>
              <w:t>29</w:t>
            </w:r>
            <w:r w:rsidRPr="00224D35">
              <w:t xml:space="preserve"> / </w:t>
            </w:r>
            <w:r>
              <w:t>N</w:t>
            </w:r>
            <w:r w:rsidRPr="008705C6">
              <w:rPr>
                <w:vertAlign w:val="subscript"/>
              </w:rPr>
              <w:t>30</w:t>
            </w:r>
            <w:r w:rsidRPr="00224D35">
              <w:t>, где</w:t>
            </w:r>
          </w:p>
          <w:p w:rsidR="007732DB" w:rsidRPr="00224D35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8705C6">
              <w:rPr>
                <w:vertAlign w:val="subscript"/>
              </w:rPr>
              <w:t>29</w:t>
            </w:r>
            <w:r>
              <w:t xml:space="preserve"> - </w:t>
            </w:r>
            <w:r w:rsidRPr="00224D35">
              <w:t>стоимость</w:t>
            </w:r>
            <w:r>
              <w:t xml:space="preserve"> контрактов, </w:t>
            </w:r>
            <w:r w:rsidRPr="00224D35">
              <w:t>заключенных по итогам проведения запрос</w:t>
            </w:r>
            <w:r>
              <w:t>ов</w:t>
            </w:r>
            <w:r w:rsidRPr="00224D35">
              <w:t xml:space="preserve"> котировок, </w:t>
            </w:r>
            <w:r>
              <w:t>тыс. руб.</w:t>
            </w:r>
            <w:r w:rsidRPr="00224D35">
              <w:t>;</w:t>
            </w:r>
          </w:p>
          <w:p w:rsidR="007732DB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8705C6">
              <w:rPr>
                <w:vertAlign w:val="subscript"/>
              </w:rPr>
              <w:t>30</w:t>
            </w:r>
            <w:r w:rsidRPr="00224D35">
              <w:t xml:space="preserve"> - совокупный годовой объем закупок, </w:t>
            </w:r>
            <w:r>
              <w:t>тыс. руб.</w:t>
            </w:r>
            <w:r w:rsidRPr="00224D35">
              <w:t>;</w:t>
            </w:r>
          </w:p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18</w:t>
            </w:r>
            <w:r w:rsidRPr="00224D35">
              <w:t xml:space="preserve"> ≤ 0,1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685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18</w:t>
            </w:r>
            <w:r w:rsidRPr="00224D35">
              <w:t xml:space="preserve"> &gt; 0,1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</w:t>
            </w:r>
          </w:p>
        </w:tc>
      </w:tr>
      <w:tr w:rsidR="007732DB" w:rsidRPr="00BF1592" w:rsidTr="00B64736">
        <w:trPr>
          <w:trHeight w:val="685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8705C6">
              <w:rPr>
                <w:vertAlign w:val="subscript"/>
              </w:rPr>
              <w:t>19</w:t>
            </w:r>
            <w:r w:rsidRPr="00224D35">
              <w:t>. Доля закупок у единственного поставщика в СГОЗ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Default="007732DB" w:rsidP="00B64736">
            <w:pPr>
              <w:contextualSpacing/>
              <w:mirrorIndents/>
              <w:jc w:val="center"/>
            </w:pPr>
            <w:r>
              <w:t>П</w:t>
            </w:r>
            <w:r w:rsidRPr="008705C6">
              <w:rPr>
                <w:vertAlign w:val="subscript"/>
              </w:rPr>
              <w:t>19</w:t>
            </w:r>
            <w:r>
              <w:t xml:space="preserve"> = N</w:t>
            </w:r>
            <w:r w:rsidRPr="008705C6">
              <w:rPr>
                <w:vertAlign w:val="subscript"/>
              </w:rPr>
              <w:t>31</w:t>
            </w:r>
            <w:r w:rsidRPr="00224D35">
              <w:t xml:space="preserve"> / </w:t>
            </w:r>
            <w:r>
              <w:t>N</w:t>
            </w:r>
            <w:r w:rsidRPr="008705C6">
              <w:rPr>
                <w:vertAlign w:val="subscript"/>
              </w:rPr>
              <w:t>30</w:t>
            </w:r>
            <w:r>
              <w:t>, где</w:t>
            </w:r>
          </w:p>
          <w:p w:rsidR="007732DB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8705C6">
              <w:rPr>
                <w:vertAlign w:val="subscript"/>
              </w:rPr>
              <w:t>31</w:t>
            </w:r>
            <w:r w:rsidRPr="00224D35">
              <w:t xml:space="preserve"> - </w:t>
            </w:r>
            <w:r w:rsidRPr="00E26CA2">
              <w:t xml:space="preserve">стоимость </w:t>
            </w:r>
            <w:r>
              <w:t xml:space="preserve">контрактов, </w:t>
            </w:r>
            <w:r w:rsidRPr="00E26CA2">
              <w:t>заключенных с единственным поставщиком</w:t>
            </w:r>
            <w:r>
              <w:t xml:space="preserve"> в соответствии с п. 4, 5 ч. 1 </w:t>
            </w:r>
            <w:r w:rsidRPr="00E26CA2">
              <w:t xml:space="preserve">ст. 93 </w:t>
            </w:r>
            <w:r>
              <w:t>Федерального закона № </w:t>
            </w:r>
            <w:r w:rsidRPr="00E26CA2">
              <w:t>44-ФЗ</w:t>
            </w:r>
            <w:r w:rsidRPr="00224D35">
              <w:t xml:space="preserve">, </w:t>
            </w:r>
            <w:r>
              <w:t>тыс. руб.</w:t>
            </w:r>
            <w:r w:rsidRPr="00224D35">
              <w:t>;</w:t>
            </w:r>
          </w:p>
          <w:p w:rsidR="007732DB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>
              <w:rPr>
                <w:vertAlign w:val="subscript"/>
              </w:rPr>
              <w:t>19</w:t>
            </w:r>
            <w:r w:rsidRPr="00224D35">
              <w:t xml:space="preserve"> ≥ 0,</w:t>
            </w:r>
            <w:r>
              <w:t>9</w:t>
            </w:r>
            <w:r w:rsidRPr="00224D35">
              <w:t>5</w:t>
            </w:r>
          </w:p>
        </w:tc>
        <w:tc>
          <w:tcPr>
            <w:tcW w:w="625" w:type="pct"/>
            <w:shd w:val="clear" w:color="auto" w:fill="auto"/>
          </w:tcPr>
          <w:p w:rsidR="007732DB" w:rsidRDefault="007732DB" w:rsidP="00B64736">
            <w:pPr>
              <w:contextualSpacing/>
              <w:mirrorIndents/>
              <w:jc w:val="center"/>
            </w:pPr>
            <w:r>
              <w:t>100</w:t>
            </w:r>
          </w:p>
        </w:tc>
      </w:tr>
      <w:tr w:rsidR="007732DB" w:rsidRPr="00BF1592" w:rsidTr="00B64736">
        <w:trPr>
          <w:trHeight w:val="685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>
              <w:rPr>
                <w:vertAlign w:val="subscript"/>
              </w:rPr>
              <w:t>19</w:t>
            </w:r>
            <w:r>
              <w:t xml:space="preserve"> &lt; 0,95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>
              <w:t xml:space="preserve">(1 </w:t>
            </w:r>
            <w:r w:rsidRPr="006918E1">
              <w:t>-</w:t>
            </w:r>
            <w:r w:rsidRPr="00224D35">
              <w:t xml:space="preserve"> П</w:t>
            </w:r>
            <w:r w:rsidRPr="008705C6">
              <w:rPr>
                <w:vertAlign w:val="subscript"/>
              </w:rPr>
              <w:t>19</w:t>
            </w:r>
            <w:r w:rsidRPr="00224D35">
              <w:t xml:space="preserve">) </w:t>
            </w:r>
            <w:r w:rsidRPr="00224D35">
              <w:rPr>
                <w:rStyle w:val="tgc"/>
              </w:rPr>
              <w:t>×</w:t>
            </w:r>
            <w:r w:rsidRPr="00224D35">
              <w:t xml:space="preserve"> 100</w:t>
            </w:r>
          </w:p>
        </w:tc>
      </w:tr>
      <w:tr w:rsidR="007732DB" w:rsidRPr="00BF1592" w:rsidTr="00B64736">
        <w:trPr>
          <w:trHeight w:val="685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8705C6">
              <w:rPr>
                <w:vertAlign w:val="subscript"/>
              </w:rPr>
              <w:t>20</w:t>
            </w:r>
            <w:r w:rsidRPr="00224D35">
              <w:t xml:space="preserve">. Доля обоснованных и частично обоснованных жалоб участников закупок в </w:t>
            </w:r>
            <w:proofErr w:type="gramStart"/>
            <w:r w:rsidRPr="00224D35">
              <w:t>общем</w:t>
            </w:r>
            <w:proofErr w:type="gramEnd"/>
            <w:r w:rsidRPr="00224D35">
              <w:t xml:space="preserve"> количестве объявленных закупок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20</w:t>
            </w:r>
            <w:r w:rsidRPr="00224D35">
              <w:t xml:space="preserve"> = </w:t>
            </w:r>
            <w:r>
              <w:t>N</w:t>
            </w:r>
            <w:r w:rsidRPr="008705C6">
              <w:rPr>
                <w:vertAlign w:val="subscript"/>
              </w:rPr>
              <w:t>32</w:t>
            </w:r>
            <w:r w:rsidRPr="00224D35">
              <w:t xml:space="preserve"> / </w:t>
            </w:r>
            <w:r>
              <w:t>N</w:t>
            </w:r>
            <w:r w:rsidRPr="008705C6">
              <w:rPr>
                <w:vertAlign w:val="subscript"/>
              </w:rPr>
              <w:t>33</w:t>
            </w:r>
            <w:r w:rsidRPr="00224D35">
              <w:t>, где</w:t>
            </w:r>
          </w:p>
          <w:p w:rsidR="007732DB" w:rsidRPr="00224D35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8705C6">
              <w:rPr>
                <w:vertAlign w:val="subscript"/>
              </w:rPr>
              <w:t>32</w:t>
            </w:r>
            <w:r w:rsidRPr="00224D35">
              <w:t xml:space="preserve"> - количество обоснованных и частично обоснованных жалоб</w:t>
            </w:r>
            <w:r>
              <w:t xml:space="preserve"> за исключением жалоб, отмененных решением суда</w:t>
            </w:r>
            <w:r w:rsidRPr="00224D35">
              <w:t xml:space="preserve">, </w:t>
            </w:r>
            <w:proofErr w:type="gramStart"/>
            <w:r w:rsidRPr="00224D35">
              <w:t>ед.;</w:t>
            </w:r>
            <w:proofErr w:type="gramEnd"/>
          </w:p>
          <w:p w:rsidR="007732DB" w:rsidRPr="00224D35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8705C6">
              <w:rPr>
                <w:vertAlign w:val="subscript"/>
              </w:rPr>
              <w:t>33</w:t>
            </w:r>
            <w:r w:rsidRPr="00224D35">
              <w:t xml:space="preserve"> - количество объявленных закупок, </w:t>
            </w:r>
            <w:proofErr w:type="gramStart"/>
            <w:r w:rsidRPr="00224D35">
              <w:t>ед.;</w:t>
            </w:r>
            <w:proofErr w:type="gramEnd"/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20</w:t>
            </w:r>
            <w:r w:rsidRPr="00224D35">
              <w:t xml:space="preserve"> = 0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685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20</w:t>
            </w:r>
            <w:r w:rsidRPr="00224D35">
              <w:t xml:space="preserve"> &gt; 0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</w:t>
            </w:r>
          </w:p>
        </w:tc>
      </w:tr>
      <w:tr w:rsidR="007732DB" w:rsidRPr="00BF1592" w:rsidTr="00B64736">
        <w:trPr>
          <w:trHeight w:val="70"/>
        </w:trPr>
        <w:tc>
          <w:tcPr>
            <w:tcW w:w="1217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  <w:r w:rsidRPr="00224D35">
              <w:t>П</w:t>
            </w:r>
            <w:r w:rsidRPr="008705C6">
              <w:rPr>
                <w:vertAlign w:val="subscript"/>
              </w:rPr>
              <w:t>21</w:t>
            </w:r>
            <w:r w:rsidRPr="00224D35">
              <w:t>. Профессионализм</w:t>
            </w:r>
            <w:r>
              <w:t xml:space="preserve"> </w:t>
            </w:r>
            <w:r w:rsidRPr="00224D35">
              <w:t>заказчика</w:t>
            </w:r>
          </w:p>
        </w:tc>
        <w:tc>
          <w:tcPr>
            <w:tcW w:w="2460" w:type="pct"/>
            <w:vMerge w:val="restar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21</w:t>
            </w:r>
            <w:r w:rsidRPr="00224D35">
              <w:t xml:space="preserve"> = </w:t>
            </w:r>
            <w:r>
              <w:t>N</w:t>
            </w:r>
            <w:r w:rsidRPr="008705C6">
              <w:rPr>
                <w:vertAlign w:val="subscript"/>
              </w:rPr>
              <w:t>34</w:t>
            </w:r>
            <w:r w:rsidRPr="00224D35">
              <w:t xml:space="preserve"> / </w:t>
            </w:r>
            <w:r>
              <w:t>N</w:t>
            </w:r>
            <w:r w:rsidRPr="008705C6">
              <w:rPr>
                <w:vertAlign w:val="subscript"/>
              </w:rPr>
              <w:t>35</w:t>
            </w:r>
            <w:r w:rsidRPr="00224D35">
              <w:t>, где</w:t>
            </w:r>
          </w:p>
          <w:p w:rsidR="007732DB" w:rsidRPr="00224D35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8705C6">
              <w:rPr>
                <w:vertAlign w:val="subscript"/>
              </w:rPr>
              <w:t>34</w:t>
            </w:r>
            <w:r w:rsidRPr="00224D35">
              <w:t xml:space="preserve"> - количество специалистов, имеющих сертификат о повышении </w:t>
            </w:r>
            <w:r w:rsidRPr="00AA4B94">
              <w:rPr>
                <w:spacing w:val="-4"/>
              </w:rPr>
              <w:t xml:space="preserve">квалификации в соответствии с Федеральным законом № 44-ФЗ, </w:t>
            </w:r>
            <w:proofErr w:type="gramStart"/>
            <w:r w:rsidRPr="00AA4B94">
              <w:rPr>
                <w:spacing w:val="-4"/>
              </w:rPr>
              <w:t>чел.</w:t>
            </w:r>
            <w:r w:rsidRPr="00224D35">
              <w:t>;</w:t>
            </w:r>
            <w:proofErr w:type="gramEnd"/>
          </w:p>
          <w:p w:rsidR="007732DB" w:rsidRPr="00224D35" w:rsidRDefault="007732DB" w:rsidP="00B64736">
            <w:pPr>
              <w:contextualSpacing/>
              <w:mirrorIndents/>
            </w:pPr>
            <w:r>
              <w:rPr>
                <w:lang w:val="en-US"/>
              </w:rPr>
              <w:t>N</w:t>
            </w:r>
            <w:r w:rsidRPr="008705C6">
              <w:rPr>
                <w:vertAlign w:val="subscript"/>
              </w:rPr>
              <w:t>35</w:t>
            </w:r>
            <w:r w:rsidRPr="00224D35">
              <w:t xml:space="preserve"> </w:t>
            </w:r>
            <w:r>
              <w:t>-</w:t>
            </w:r>
            <w:r w:rsidRPr="00AA4B94">
              <w:t xml:space="preserve"> </w:t>
            </w:r>
            <w:r>
              <w:t>количество специалистов</w:t>
            </w:r>
            <w:r w:rsidRPr="00224D35">
              <w:t>, занятых закупками</w:t>
            </w:r>
            <w:r>
              <w:t xml:space="preserve"> в учреждении</w:t>
            </w:r>
            <w:r w:rsidRPr="00224D35">
              <w:t>, чел.</w:t>
            </w: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21</w:t>
            </w:r>
            <w:r w:rsidRPr="00224D35">
              <w:t xml:space="preserve"> ≥ 0,5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100</w:t>
            </w:r>
          </w:p>
        </w:tc>
      </w:tr>
      <w:tr w:rsidR="007732DB" w:rsidRPr="00BF1592" w:rsidTr="00B64736">
        <w:trPr>
          <w:trHeight w:val="70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0,4 ≤ П</w:t>
            </w:r>
            <w:r w:rsidRPr="008705C6">
              <w:rPr>
                <w:vertAlign w:val="subscript"/>
              </w:rPr>
              <w:t>21</w:t>
            </w:r>
            <w:r w:rsidRPr="00224D35">
              <w:t xml:space="preserve"> &lt; 0,5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75</w:t>
            </w:r>
          </w:p>
        </w:tc>
      </w:tr>
      <w:tr w:rsidR="007732DB" w:rsidRPr="00BF1592" w:rsidTr="00B64736">
        <w:trPr>
          <w:trHeight w:val="102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0,3 ≤ П</w:t>
            </w:r>
            <w:r w:rsidRPr="008705C6">
              <w:rPr>
                <w:vertAlign w:val="subscript"/>
              </w:rPr>
              <w:t>21</w:t>
            </w:r>
            <w:r w:rsidRPr="00224D35">
              <w:t xml:space="preserve"> &lt; 0,4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50</w:t>
            </w:r>
          </w:p>
        </w:tc>
      </w:tr>
      <w:tr w:rsidR="007732DB" w:rsidRPr="00BF1592" w:rsidTr="00B64736">
        <w:trPr>
          <w:trHeight w:val="70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0,2 ≤ П</w:t>
            </w:r>
            <w:r w:rsidRPr="008705C6">
              <w:rPr>
                <w:vertAlign w:val="subscript"/>
              </w:rPr>
              <w:t>21</w:t>
            </w:r>
            <w:r w:rsidRPr="00224D35">
              <w:t xml:space="preserve"> &lt; 0,3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25</w:t>
            </w:r>
          </w:p>
        </w:tc>
      </w:tr>
      <w:tr w:rsidR="007732DB" w:rsidRPr="00BF1592" w:rsidTr="00B64736">
        <w:trPr>
          <w:trHeight w:val="70"/>
        </w:trPr>
        <w:tc>
          <w:tcPr>
            <w:tcW w:w="1217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2460" w:type="pct"/>
            <w:vMerge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</w:pPr>
          </w:p>
        </w:tc>
        <w:tc>
          <w:tcPr>
            <w:tcW w:w="698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П</w:t>
            </w:r>
            <w:r w:rsidRPr="008705C6">
              <w:rPr>
                <w:vertAlign w:val="subscript"/>
              </w:rPr>
              <w:t>21</w:t>
            </w:r>
            <w:r w:rsidRPr="00224D35">
              <w:t xml:space="preserve"> &lt; 0,2</w:t>
            </w:r>
          </w:p>
        </w:tc>
        <w:tc>
          <w:tcPr>
            <w:tcW w:w="625" w:type="pct"/>
            <w:shd w:val="clear" w:color="auto" w:fill="auto"/>
          </w:tcPr>
          <w:p w:rsidR="007732DB" w:rsidRPr="00224D35" w:rsidRDefault="007732DB" w:rsidP="00B64736">
            <w:pPr>
              <w:contextualSpacing/>
              <w:mirrorIndents/>
              <w:jc w:val="center"/>
            </w:pPr>
            <w:r w:rsidRPr="00224D35">
              <w:t>0</w:t>
            </w:r>
          </w:p>
        </w:tc>
      </w:tr>
    </w:tbl>
    <w:p w:rsidR="001718C0" w:rsidRPr="00D9426B" w:rsidRDefault="001718C0" w:rsidP="007732DB">
      <w:pPr>
        <w:tabs>
          <w:tab w:val="left" w:pos="388"/>
          <w:tab w:val="left" w:pos="9356"/>
        </w:tabs>
        <w:spacing w:line="360" w:lineRule="auto"/>
        <w:jc w:val="both"/>
        <w:rPr>
          <w:sz w:val="28"/>
          <w:szCs w:val="28"/>
        </w:rPr>
      </w:pPr>
    </w:p>
    <w:sectPr w:rsidR="001718C0" w:rsidRPr="00D9426B" w:rsidSect="007732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2A"/>
    <w:rsid w:val="00011178"/>
    <w:rsid w:val="0001218C"/>
    <w:rsid w:val="00012B1D"/>
    <w:rsid w:val="00012F01"/>
    <w:rsid w:val="00014726"/>
    <w:rsid w:val="00015DF1"/>
    <w:rsid w:val="00024D9B"/>
    <w:rsid w:val="000253C3"/>
    <w:rsid w:val="00027A8F"/>
    <w:rsid w:val="00033CFD"/>
    <w:rsid w:val="000357A9"/>
    <w:rsid w:val="000363A2"/>
    <w:rsid w:val="000367AB"/>
    <w:rsid w:val="00044D35"/>
    <w:rsid w:val="00047490"/>
    <w:rsid w:val="000500CF"/>
    <w:rsid w:val="00052F6A"/>
    <w:rsid w:val="00053D68"/>
    <w:rsid w:val="00055407"/>
    <w:rsid w:val="00062B4F"/>
    <w:rsid w:val="00062DFE"/>
    <w:rsid w:val="00070782"/>
    <w:rsid w:val="00073869"/>
    <w:rsid w:val="000738A1"/>
    <w:rsid w:val="000738AB"/>
    <w:rsid w:val="00077F87"/>
    <w:rsid w:val="00080652"/>
    <w:rsid w:val="00082A35"/>
    <w:rsid w:val="00086ABD"/>
    <w:rsid w:val="00086CAC"/>
    <w:rsid w:val="00094367"/>
    <w:rsid w:val="00094511"/>
    <w:rsid w:val="00096111"/>
    <w:rsid w:val="000A06C9"/>
    <w:rsid w:val="000A3DB8"/>
    <w:rsid w:val="000A6B96"/>
    <w:rsid w:val="000A785A"/>
    <w:rsid w:val="000B243B"/>
    <w:rsid w:val="000B3C7A"/>
    <w:rsid w:val="000B5CE7"/>
    <w:rsid w:val="000C1037"/>
    <w:rsid w:val="000C49AF"/>
    <w:rsid w:val="000C75AF"/>
    <w:rsid w:val="000C7C00"/>
    <w:rsid w:val="000D172D"/>
    <w:rsid w:val="000D3248"/>
    <w:rsid w:val="000D35E3"/>
    <w:rsid w:val="000D48EC"/>
    <w:rsid w:val="000D52BC"/>
    <w:rsid w:val="000E679B"/>
    <w:rsid w:val="000E7AFF"/>
    <w:rsid w:val="000F4553"/>
    <w:rsid w:val="000F4641"/>
    <w:rsid w:val="000F4EFB"/>
    <w:rsid w:val="00100ABE"/>
    <w:rsid w:val="0010187A"/>
    <w:rsid w:val="001028E4"/>
    <w:rsid w:val="00103C3A"/>
    <w:rsid w:val="00104F1B"/>
    <w:rsid w:val="001057D8"/>
    <w:rsid w:val="00106326"/>
    <w:rsid w:val="00106BA8"/>
    <w:rsid w:val="00106E1D"/>
    <w:rsid w:val="00111E54"/>
    <w:rsid w:val="001121D7"/>
    <w:rsid w:val="00113DA2"/>
    <w:rsid w:val="001152B4"/>
    <w:rsid w:val="00117C4E"/>
    <w:rsid w:val="001246F3"/>
    <w:rsid w:val="001255C2"/>
    <w:rsid w:val="001260EA"/>
    <w:rsid w:val="001262F9"/>
    <w:rsid w:val="001268E0"/>
    <w:rsid w:val="001320D4"/>
    <w:rsid w:val="001328A8"/>
    <w:rsid w:val="00134748"/>
    <w:rsid w:val="00137909"/>
    <w:rsid w:val="00142D50"/>
    <w:rsid w:val="00144F5D"/>
    <w:rsid w:val="00145534"/>
    <w:rsid w:val="00147011"/>
    <w:rsid w:val="0015164C"/>
    <w:rsid w:val="00156EE9"/>
    <w:rsid w:val="00162D4B"/>
    <w:rsid w:val="00167258"/>
    <w:rsid w:val="00167855"/>
    <w:rsid w:val="001718C0"/>
    <w:rsid w:val="00174C10"/>
    <w:rsid w:val="0018004E"/>
    <w:rsid w:val="0018089E"/>
    <w:rsid w:val="001820E8"/>
    <w:rsid w:val="0018494F"/>
    <w:rsid w:val="00184CF7"/>
    <w:rsid w:val="00192269"/>
    <w:rsid w:val="00196B01"/>
    <w:rsid w:val="001A03C4"/>
    <w:rsid w:val="001A2D1A"/>
    <w:rsid w:val="001B10B0"/>
    <w:rsid w:val="001B2354"/>
    <w:rsid w:val="001B6ABE"/>
    <w:rsid w:val="001C35A0"/>
    <w:rsid w:val="001C4A62"/>
    <w:rsid w:val="001D1A7C"/>
    <w:rsid w:val="001D1C1E"/>
    <w:rsid w:val="001D7873"/>
    <w:rsid w:val="001E30AD"/>
    <w:rsid w:val="001E5858"/>
    <w:rsid w:val="001E67CB"/>
    <w:rsid w:val="001E69A3"/>
    <w:rsid w:val="001F6581"/>
    <w:rsid w:val="001F7607"/>
    <w:rsid w:val="00200A58"/>
    <w:rsid w:val="00203189"/>
    <w:rsid w:val="0020616F"/>
    <w:rsid w:val="00212023"/>
    <w:rsid w:val="00214C20"/>
    <w:rsid w:val="0021769A"/>
    <w:rsid w:val="00222040"/>
    <w:rsid w:val="0023251E"/>
    <w:rsid w:val="002358F6"/>
    <w:rsid w:val="00240AD9"/>
    <w:rsid w:val="00242E08"/>
    <w:rsid w:val="00246510"/>
    <w:rsid w:val="0025531F"/>
    <w:rsid w:val="00256468"/>
    <w:rsid w:val="00256E15"/>
    <w:rsid w:val="00260CE0"/>
    <w:rsid w:val="002650F5"/>
    <w:rsid w:val="00265804"/>
    <w:rsid w:val="00272009"/>
    <w:rsid w:val="0027341B"/>
    <w:rsid w:val="002744D9"/>
    <w:rsid w:val="00274BCC"/>
    <w:rsid w:val="0028039B"/>
    <w:rsid w:val="00280D74"/>
    <w:rsid w:val="00281238"/>
    <w:rsid w:val="0028699A"/>
    <w:rsid w:val="0028731A"/>
    <w:rsid w:val="002906D7"/>
    <w:rsid w:val="002918D5"/>
    <w:rsid w:val="00292B3F"/>
    <w:rsid w:val="00292F0F"/>
    <w:rsid w:val="00296CED"/>
    <w:rsid w:val="002A022D"/>
    <w:rsid w:val="002A24F4"/>
    <w:rsid w:val="002A30B8"/>
    <w:rsid w:val="002A433F"/>
    <w:rsid w:val="002A45B6"/>
    <w:rsid w:val="002A6066"/>
    <w:rsid w:val="002C38C7"/>
    <w:rsid w:val="002C47A1"/>
    <w:rsid w:val="002C6086"/>
    <w:rsid w:val="002D12B6"/>
    <w:rsid w:val="002D15E5"/>
    <w:rsid w:val="002D439A"/>
    <w:rsid w:val="002D76A1"/>
    <w:rsid w:val="002D7D1A"/>
    <w:rsid w:val="002E35BF"/>
    <w:rsid w:val="002F50B1"/>
    <w:rsid w:val="002F6C45"/>
    <w:rsid w:val="002F6F8C"/>
    <w:rsid w:val="003008B7"/>
    <w:rsid w:val="0030258A"/>
    <w:rsid w:val="003049B5"/>
    <w:rsid w:val="00304FF1"/>
    <w:rsid w:val="003102DE"/>
    <w:rsid w:val="003104C1"/>
    <w:rsid w:val="00311AD7"/>
    <w:rsid w:val="00314CCD"/>
    <w:rsid w:val="00315B47"/>
    <w:rsid w:val="00316856"/>
    <w:rsid w:val="00317A60"/>
    <w:rsid w:val="00322103"/>
    <w:rsid w:val="0032280D"/>
    <w:rsid w:val="00337BBB"/>
    <w:rsid w:val="00341706"/>
    <w:rsid w:val="00341AE3"/>
    <w:rsid w:val="00341CB9"/>
    <w:rsid w:val="00353429"/>
    <w:rsid w:val="003544DB"/>
    <w:rsid w:val="00357DBB"/>
    <w:rsid w:val="0036095B"/>
    <w:rsid w:val="00366F29"/>
    <w:rsid w:val="0036782D"/>
    <w:rsid w:val="00377A6C"/>
    <w:rsid w:val="00383EEB"/>
    <w:rsid w:val="00385492"/>
    <w:rsid w:val="00387092"/>
    <w:rsid w:val="003901AB"/>
    <w:rsid w:val="00390E96"/>
    <w:rsid w:val="00393105"/>
    <w:rsid w:val="0039330F"/>
    <w:rsid w:val="00394997"/>
    <w:rsid w:val="00397E54"/>
    <w:rsid w:val="003A11DB"/>
    <w:rsid w:val="003A33CF"/>
    <w:rsid w:val="003A687A"/>
    <w:rsid w:val="003A7F18"/>
    <w:rsid w:val="003B362F"/>
    <w:rsid w:val="003B3B1B"/>
    <w:rsid w:val="003B778A"/>
    <w:rsid w:val="003C061D"/>
    <w:rsid w:val="003C45E0"/>
    <w:rsid w:val="003D027E"/>
    <w:rsid w:val="003D2223"/>
    <w:rsid w:val="003D2C61"/>
    <w:rsid w:val="003D3CFB"/>
    <w:rsid w:val="003D5B4E"/>
    <w:rsid w:val="003D7D35"/>
    <w:rsid w:val="003E1E20"/>
    <w:rsid w:val="003F1796"/>
    <w:rsid w:val="003F1862"/>
    <w:rsid w:val="003F26F7"/>
    <w:rsid w:val="003F4600"/>
    <w:rsid w:val="003F60BD"/>
    <w:rsid w:val="004014B4"/>
    <w:rsid w:val="00403552"/>
    <w:rsid w:val="0040383D"/>
    <w:rsid w:val="00403F42"/>
    <w:rsid w:val="0041136B"/>
    <w:rsid w:val="00415D91"/>
    <w:rsid w:val="00416996"/>
    <w:rsid w:val="00416A32"/>
    <w:rsid w:val="00424023"/>
    <w:rsid w:val="004257EF"/>
    <w:rsid w:val="00441734"/>
    <w:rsid w:val="004446BE"/>
    <w:rsid w:val="0044631B"/>
    <w:rsid w:val="00447113"/>
    <w:rsid w:val="004512EC"/>
    <w:rsid w:val="00451557"/>
    <w:rsid w:val="00452D87"/>
    <w:rsid w:val="0045380E"/>
    <w:rsid w:val="00453A63"/>
    <w:rsid w:val="00456984"/>
    <w:rsid w:val="00457132"/>
    <w:rsid w:val="00457FFB"/>
    <w:rsid w:val="00460EF1"/>
    <w:rsid w:val="004632C9"/>
    <w:rsid w:val="00466423"/>
    <w:rsid w:val="004667B7"/>
    <w:rsid w:val="00471046"/>
    <w:rsid w:val="0047142A"/>
    <w:rsid w:val="0047322B"/>
    <w:rsid w:val="00484B70"/>
    <w:rsid w:val="00484CFB"/>
    <w:rsid w:val="00486BA6"/>
    <w:rsid w:val="004878BD"/>
    <w:rsid w:val="00492350"/>
    <w:rsid w:val="004A1719"/>
    <w:rsid w:val="004A357F"/>
    <w:rsid w:val="004A4832"/>
    <w:rsid w:val="004A4879"/>
    <w:rsid w:val="004B20FB"/>
    <w:rsid w:val="004B2BA7"/>
    <w:rsid w:val="004B3E78"/>
    <w:rsid w:val="004B572A"/>
    <w:rsid w:val="004C17F9"/>
    <w:rsid w:val="004C5918"/>
    <w:rsid w:val="004D236A"/>
    <w:rsid w:val="004D6524"/>
    <w:rsid w:val="004D7E0B"/>
    <w:rsid w:val="004E3FD6"/>
    <w:rsid w:val="004E4EBD"/>
    <w:rsid w:val="004E6376"/>
    <w:rsid w:val="004E702E"/>
    <w:rsid w:val="004F60A0"/>
    <w:rsid w:val="004F78D1"/>
    <w:rsid w:val="005010E4"/>
    <w:rsid w:val="0050169A"/>
    <w:rsid w:val="00504B5A"/>
    <w:rsid w:val="00507B54"/>
    <w:rsid w:val="00507D74"/>
    <w:rsid w:val="005124B3"/>
    <w:rsid w:val="00512D11"/>
    <w:rsid w:val="00517507"/>
    <w:rsid w:val="005205FD"/>
    <w:rsid w:val="00523334"/>
    <w:rsid w:val="00523C20"/>
    <w:rsid w:val="00524358"/>
    <w:rsid w:val="00531AF5"/>
    <w:rsid w:val="0053337D"/>
    <w:rsid w:val="00534D26"/>
    <w:rsid w:val="00540A45"/>
    <w:rsid w:val="00550449"/>
    <w:rsid w:val="00551E45"/>
    <w:rsid w:val="0055355F"/>
    <w:rsid w:val="00553A5F"/>
    <w:rsid w:val="0055706D"/>
    <w:rsid w:val="005633BC"/>
    <w:rsid w:val="00563EF9"/>
    <w:rsid w:val="00566B5F"/>
    <w:rsid w:val="005700B7"/>
    <w:rsid w:val="00571A17"/>
    <w:rsid w:val="00572264"/>
    <w:rsid w:val="005766A2"/>
    <w:rsid w:val="00576D76"/>
    <w:rsid w:val="005820F9"/>
    <w:rsid w:val="00582369"/>
    <w:rsid w:val="00583FBA"/>
    <w:rsid w:val="00585D92"/>
    <w:rsid w:val="00597F55"/>
    <w:rsid w:val="005A0B9B"/>
    <w:rsid w:val="005A1935"/>
    <w:rsid w:val="005A2222"/>
    <w:rsid w:val="005A387B"/>
    <w:rsid w:val="005A5810"/>
    <w:rsid w:val="005A7FD7"/>
    <w:rsid w:val="005B023C"/>
    <w:rsid w:val="005B1F94"/>
    <w:rsid w:val="005B3BC8"/>
    <w:rsid w:val="005B5134"/>
    <w:rsid w:val="005C2E3C"/>
    <w:rsid w:val="005C3716"/>
    <w:rsid w:val="005C3F12"/>
    <w:rsid w:val="005C446B"/>
    <w:rsid w:val="005C50AB"/>
    <w:rsid w:val="005C54BD"/>
    <w:rsid w:val="005D091E"/>
    <w:rsid w:val="005D356B"/>
    <w:rsid w:val="005D612B"/>
    <w:rsid w:val="005E1243"/>
    <w:rsid w:val="005E3760"/>
    <w:rsid w:val="005E45DA"/>
    <w:rsid w:val="005F17D4"/>
    <w:rsid w:val="005F4CFC"/>
    <w:rsid w:val="005F741C"/>
    <w:rsid w:val="006025D6"/>
    <w:rsid w:val="00606569"/>
    <w:rsid w:val="00606CBC"/>
    <w:rsid w:val="00612447"/>
    <w:rsid w:val="00614B23"/>
    <w:rsid w:val="006166EA"/>
    <w:rsid w:val="00620E3F"/>
    <w:rsid w:val="00621CCE"/>
    <w:rsid w:val="006223A6"/>
    <w:rsid w:val="0062550B"/>
    <w:rsid w:val="00625B7E"/>
    <w:rsid w:val="006313FE"/>
    <w:rsid w:val="00633953"/>
    <w:rsid w:val="00637B36"/>
    <w:rsid w:val="006417F7"/>
    <w:rsid w:val="00643BD0"/>
    <w:rsid w:val="00653C0A"/>
    <w:rsid w:val="00655C53"/>
    <w:rsid w:val="0065757D"/>
    <w:rsid w:val="00657997"/>
    <w:rsid w:val="00664611"/>
    <w:rsid w:val="00664C58"/>
    <w:rsid w:val="00665897"/>
    <w:rsid w:val="006659BB"/>
    <w:rsid w:val="006669E2"/>
    <w:rsid w:val="00670CEC"/>
    <w:rsid w:val="0067154A"/>
    <w:rsid w:val="006771BA"/>
    <w:rsid w:val="00685465"/>
    <w:rsid w:val="00685A2F"/>
    <w:rsid w:val="00687AA8"/>
    <w:rsid w:val="00687BBD"/>
    <w:rsid w:val="00687C99"/>
    <w:rsid w:val="00690DD8"/>
    <w:rsid w:val="00695B0E"/>
    <w:rsid w:val="00695B71"/>
    <w:rsid w:val="00697281"/>
    <w:rsid w:val="00697E97"/>
    <w:rsid w:val="006A22B4"/>
    <w:rsid w:val="006A45B2"/>
    <w:rsid w:val="006A4DB1"/>
    <w:rsid w:val="006B4001"/>
    <w:rsid w:val="006B5711"/>
    <w:rsid w:val="006B6BEF"/>
    <w:rsid w:val="006C0236"/>
    <w:rsid w:val="006C26EA"/>
    <w:rsid w:val="006C2DF4"/>
    <w:rsid w:val="006C5E8E"/>
    <w:rsid w:val="006C634C"/>
    <w:rsid w:val="006C6D57"/>
    <w:rsid w:val="006D0C22"/>
    <w:rsid w:val="006D4B3E"/>
    <w:rsid w:val="006D56EB"/>
    <w:rsid w:val="006E44FA"/>
    <w:rsid w:val="006E54B2"/>
    <w:rsid w:val="006F2201"/>
    <w:rsid w:val="006F6B15"/>
    <w:rsid w:val="007036C9"/>
    <w:rsid w:val="00707126"/>
    <w:rsid w:val="00707BB9"/>
    <w:rsid w:val="00713CB8"/>
    <w:rsid w:val="00713E27"/>
    <w:rsid w:val="00714BE0"/>
    <w:rsid w:val="00720FC4"/>
    <w:rsid w:val="0072343B"/>
    <w:rsid w:val="00725741"/>
    <w:rsid w:val="00730143"/>
    <w:rsid w:val="0073107F"/>
    <w:rsid w:val="00733903"/>
    <w:rsid w:val="00734B60"/>
    <w:rsid w:val="00735332"/>
    <w:rsid w:val="00735EFA"/>
    <w:rsid w:val="007368E9"/>
    <w:rsid w:val="00744FE1"/>
    <w:rsid w:val="00745095"/>
    <w:rsid w:val="00747789"/>
    <w:rsid w:val="00750F3D"/>
    <w:rsid w:val="00751754"/>
    <w:rsid w:val="007564A1"/>
    <w:rsid w:val="007608F3"/>
    <w:rsid w:val="00761A19"/>
    <w:rsid w:val="00765EDB"/>
    <w:rsid w:val="007665C4"/>
    <w:rsid w:val="007732DB"/>
    <w:rsid w:val="00774866"/>
    <w:rsid w:val="00775BD9"/>
    <w:rsid w:val="00776A8B"/>
    <w:rsid w:val="00777770"/>
    <w:rsid w:val="00777E85"/>
    <w:rsid w:val="00782122"/>
    <w:rsid w:val="00783197"/>
    <w:rsid w:val="007853C6"/>
    <w:rsid w:val="00785936"/>
    <w:rsid w:val="0079134C"/>
    <w:rsid w:val="00791A43"/>
    <w:rsid w:val="00792A69"/>
    <w:rsid w:val="00795896"/>
    <w:rsid w:val="007A207F"/>
    <w:rsid w:val="007A2763"/>
    <w:rsid w:val="007A5BC4"/>
    <w:rsid w:val="007B62D2"/>
    <w:rsid w:val="007C1A13"/>
    <w:rsid w:val="007C2E37"/>
    <w:rsid w:val="007C3E02"/>
    <w:rsid w:val="007D0F79"/>
    <w:rsid w:val="007D4291"/>
    <w:rsid w:val="007D47C9"/>
    <w:rsid w:val="007D58C0"/>
    <w:rsid w:val="007D5A89"/>
    <w:rsid w:val="007D7F2F"/>
    <w:rsid w:val="007E0961"/>
    <w:rsid w:val="007E43E9"/>
    <w:rsid w:val="007E766C"/>
    <w:rsid w:val="007F3706"/>
    <w:rsid w:val="007F3A2C"/>
    <w:rsid w:val="007F5526"/>
    <w:rsid w:val="007F572A"/>
    <w:rsid w:val="007F604B"/>
    <w:rsid w:val="0080185F"/>
    <w:rsid w:val="00801968"/>
    <w:rsid w:val="00801B3C"/>
    <w:rsid w:val="00801E10"/>
    <w:rsid w:val="008029BC"/>
    <w:rsid w:val="0080404E"/>
    <w:rsid w:val="00810517"/>
    <w:rsid w:val="008126AA"/>
    <w:rsid w:val="00816891"/>
    <w:rsid w:val="0081770F"/>
    <w:rsid w:val="00820A53"/>
    <w:rsid w:val="00821674"/>
    <w:rsid w:val="008217A7"/>
    <w:rsid w:val="008241D5"/>
    <w:rsid w:val="00826E4A"/>
    <w:rsid w:val="00833697"/>
    <w:rsid w:val="00834672"/>
    <w:rsid w:val="00835123"/>
    <w:rsid w:val="008355DF"/>
    <w:rsid w:val="00835DDF"/>
    <w:rsid w:val="0083642B"/>
    <w:rsid w:val="0083677F"/>
    <w:rsid w:val="00840011"/>
    <w:rsid w:val="0084137F"/>
    <w:rsid w:val="0084325C"/>
    <w:rsid w:val="008450F0"/>
    <w:rsid w:val="0084659B"/>
    <w:rsid w:val="008466A7"/>
    <w:rsid w:val="0084707A"/>
    <w:rsid w:val="008472C3"/>
    <w:rsid w:val="00847D93"/>
    <w:rsid w:val="00851DCB"/>
    <w:rsid w:val="008524B0"/>
    <w:rsid w:val="0085343F"/>
    <w:rsid w:val="008534C3"/>
    <w:rsid w:val="00853A8E"/>
    <w:rsid w:val="00853F56"/>
    <w:rsid w:val="0085449E"/>
    <w:rsid w:val="008559BA"/>
    <w:rsid w:val="00856981"/>
    <w:rsid w:val="00863A9D"/>
    <w:rsid w:val="0086484D"/>
    <w:rsid w:val="00870135"/>
    <w:rsid w:val="008762C4"/>
    <w:rsid w:val="00877D5E"/>
    <w:rsid w:val="008809EF"/>
    <w:rsid w:val="008917B1"/>
    <w:rsid w:val="00892690"/>
    <w:rsid w:val="00894A90"/>
    <w:rsid w:val="008976D3"/>
    <w:rsid w:val="008A5B40"/>
    <w:rsid w:val="008A5C22"/>
    <w:rsid w:val="008A7C59"/>
    <w:rsid w:val="008B0421"/>
    <w:rsid w:val="008B11CA"/>
    <w:rsid w:val="008B25CA"/>
    <w:rsid w:val="008B45EA"/>
    <w:rsid w:val="008C1A1A"/>
    <w:rsid w:val="008C45CB"/>
    <w:rsid w:val="008C5C00"/>
    <w:rsid w:val="008C6D9F"/>
    <w:rsid w:val="008C735D"/>
    <w:rsid w:val="008D207E"/>
    <w:rsid w:val="008D48AE"/>
    <w:rsid w:val="008D5E89"/>
    <w:rsid w:val="008D71B3"/>
    <w:rsid w:val="008E0932"/>
    <w:rsid w:val="008E29EE"/>
    <w:rsid w:val="008E5628"/>
    <w:rsid w:val="008F5401"/>
    <w:rsid w:val="009025A1"/>
    <w:rsid w:val="00904617"/>
    <w:rsid w:val="00906F68"/>
    <w:rsid w:val="0091039A"/>
    <w:rsid w:val="00916130"/>
    <w:rsid w:val="00916E75"/>
    <w:rsid w:val="00917912"/>
    <w:rsid w:val="00922B9D"/>
    <w:rsid w:val="00927B5B"/>
    <w:rsid w:val="00934406"/>
    <w:rsid w:val="009403F4"/>
    <w:rsid w:val="00942818"/>
    <w:rsid w:val="00944358"/>
    <w:rsid w:val="00946480"/>
    <w:rsid w:val="009478F1"/>
    <w:rsid w:val="009504FD"/>
    <w:rsid w:val="00950625"/>
    <w:rsid w:val="00951E34"/>
    <w:rsid w:val="00952E61"/>
    <w:rsid w:val="00954A0C"/>
    <w:rsid w:val="00955530"/>
    <w:rsid w:val="00960499"/>
    <w:rsid w:val="00960858"/>
    <w:rsid w:val="00964C18"/>
    <w:rsid w:val="00972716"/>
    <w:rsid w:val="00975ADB"/>
    <w:rsid w:val="00975DB3"/>
    <w:rsid w:val="00985A5C"/>
    <w:rsid w:val="00991898"/>
    <w:rsid w:val="00993ECF"/>
    <w:rsid w:val="00995CA2"/>
    <w:rsid w:val="0099609A"/>
    <w:rsid w:val="00996981"/>
    <w:rsid w:val="009A1C23"/>
    <w:rsid w:val="009A280D"/>
    <w:rsid w:val="009A3808"/>
    <w:rsid w:val="009A5838"/>
    <w:rsid w:val="009A5C0B"/>
    <w:rsid w:val="009B2366"/>
    <w:rsid w:val="009B44B1"/>
    <w:rsid w:val="009B66A5"/>
    <w:rsid w:val="009B6957"/>
    <w:rsid w:val="009C4911"/>
    <w:rsid w:val="009C6CF0"/>
    <w:rsid w:val="009C79BA"/>
    <w:rsid w:val="009C7BCD"/>
    <w:rsid w:val="009D0A40"/>
    <w:rsid w:val="009D1871"/>
    <w:rsid w:val="009D59C4"/>
    <w:rsid w:val="009E0B3E"/>
    <w:rsid w:val="009E3291"/>
    <w:rsid w:val="009E3AF9"/>
    <w:rsid w:val="009E5BA3"/>
    <w:rsid w:val="009E72C1"/>
    <w:rsid w:val="009F0A72"/>
    <w:rsid w:val="009F25E7"/>
    <w:rsid w:val="009F56CD"/>
    <w:rsid w:val="00A01828"/>
    <w:rsid w:val="00A03475"/>
    <w:rsid w:val="00A10738"/>
    <w:rsid w:val="00A11808"/>
    <w:rsid w:val="00A11D40"/>
    <w:rsid w:val="00A12EE2"/>
    <w:rsid w:val="00A13BC6"/>
    <w:rsid w:val="00A1488F"/>
    <w:rsid w:val="00A1737F"/>
    <w:rsid w:val="00A21247"/>
    <w:rsid w:val="00A216E7"/>
    <w:rsid w:val="00A3620B"/>
    <w:rsid w:val="00A41A3D"/>
    <w:rsid w:val="00A41B62"/>
    <w:rsid w:val="00A44CD9"/>
    <w:rsid w:val="00A45F14"/>
    <w:rsid w:val="00A469C4"/>
    <w:rsid w:val="00A54972"/>
    <w:rsid w:val="00A54B36"/>
    <w:rsid w:val="00A55991"/>
    <w:rsid w:val="00A5754F"/>
    <w:rsid w:val="00A61472"/>
    <w:rsid w:val="00A61639"/>
    <w:rsid w:val="00A7742A"/>
    <w:rsid w:val="00A802F4"/>
    <w:rsid w:val="00A82A4E"/>
    <w:rsid w:val="00A861A3"/>
    <w:rsid w:val="00A8647D"/>
    <w:rsid w:val="00A8670F"/>
    <w:rsid w:val="00A9413E"/>
    <w:rsid w:val="00AA2E55"/>
    <w:rsid w:val="00AA5639"/>
    <w:rsid w:val="00AA5CC4"/>
    <w:rsid w:val="00AB4237"/>
    <w:rsid w:val="00AB49F0"/>
    <w:rsid w:val="00AB50DA"/>
    <w:rsid w:val="00AB5F00"/>
    <w:rsid w:val="00AB64EE"/>
    <w:rsid w:val="00AB6C7E"/>
    <w:rsid w:val="00AB752A"/>
    <w:rsid w:val="00AC0896"/>
    <w:rsid w:val="00AC2666"/>
    <w:rsid w:val="00AC4434"/>
    <w:rsid w:val="00AC5570"/>
    <w:rsid w:val="00AC5EBC"/>
    <w:rsid w:val="00AC7A43"/>
    <w:rsid w:val="00AD3436"/>
    <w:rsid w:val="00AD4C36"/>
    <w:rsid w:val="00AD5345"/>
    <w:rsid w:val="00AD55FD"/>
    <w:rsid w:val="00AE1E31"/>
    <w:rsid w:val="00AE1FC2"/>
    <w:rsid w:val="00AE2CE2"/>
    <w:rsid w:val="00AE39AB"/>
    <w:rsid w:val="00AE3FF4"/>
    <w:rsid w:val="00AF01A5"/>
    <w:rsid w:val="00AF20C4"/>
    <w:rsid w:val="00AF3635"/>
    <w:rsid w:val="00B008E6"/>
    <w:rsid w:val="00B03268"/>
    <w:rsid w:val="00B03A3C"/>
    <w:rsid w:val="00B04953"/>
    <w:rsid w:val="00B10BA7"/>
    <w:rsid w:val="00B17372"/>
    <w:rsid w:val="00B17FBB"/>
    <w:rsid w:val="00B20EE7"/>
    <w:rsid w:val="00B21AE3"/>
    <w:rsid w:val="00B24088"/>
    <w:rsid w:val="00B26757"/>
    <w:rsid w:val="00B26777"/>
    <w:rsid w:val="00B26A86"/>
    <w:rsid w:val="00B27CF5"/>
    <w:rsid w:val="00B3024D"/>
    <w:rsid w:val="00B40E5A"/>
    <w:rsid w:val="00B50EBD"/>
    <w:rsid w:val="00B5109D"/>
    <w:rsid w:val="00B51E40"/>
    <w:rsid w:val="00B539B7"/>
    <w:rsid w:val="00B54411"/>
    <w:rsid w:val="00B56925"/>
    <w:rsid w:val="00B60677"/>
    <w:rsid w:val="00B61989"/>
    <w:rsid w:val="00B62A0F"/>
    <w:rsid w:val="00B67560"/>
    <w:rsid w:val="00B75A7A"/>
    <w:rsid w:val="00B82858"/>
    <w:rsid w:val="00B82E72"/>
    <w:rsid w:val="00B86172"/>
    <w:rsid w:val="00B8777F"/>
    <w:rsid w:val="00B87CF3"/>
    <w:rsid w:val="00B97879"/>
    <w:rsid w:val="00BA4383"/>
    <w:rsid w:val="00BA70B2"/>
    <w:rsid w:val="00BA7836"/>
    <w:rsid w:val="00BC019F"/>
    <w:rsid w:val="00BC309D"/>
    <w:rsid w:val="00BD3F78"/>
    <w:rsid w:val="00BD5724"/>
    <w:rsid w:val="00BE3715"/>
    <w:rsid w:val="00BE3BB6"/>
    <w:rsid w:val="00BF471B"/>
    <w:rsid w:val="00BF5828"/>
    <w:rsid w:val="00C02DB0"/>
    <w:rsid w:val="00C07DD6"/>
    <w:rsid w:val="00C10151"/>
    <w:rsid w:val="00C136B4"/>
    <w:rsid w:val="00C14272"/>
    <w:rsid w:val="00C157A5"/>
    <w:rsid w:val="00C213E2"/>
    <w:rsid w:val="00C21981"/>
    <w:rsid w:val="00C2362B"/>
    <w:rsid w:val="00C2613D"/>
    <w:rsid w:val="00C31FB1"/>
    <w:rsid w:val="00C32CFB"/>
    <w:rsid w:val="00C33402"/>
    <w:rsid w:val="00C33DBF"/>
    <w:rsid w:val="00C35A69"/>
    <w:rsid w:val="00C361AD"/>
    <w:rsid w:val="00C41433"/>
    <w:rsid w:val="00C43F24"/>
    <w:rsid w:val="00C43F9E"/>
    <w:rsid w:val="00C44C5E"/>
    <w:rsid w:val="00C45797"/>
    <w:rsid w:val="00C50742"/>
    <w:rsid w:val="00C555C9"/>
    <w:rsid w:val="00C5709B"/>
    <w:rsid w:val="00C62AE1"/>
    <w:rsid w:val="00C7048D"/>
    <w:rsid w:val="00C75EDB"/>
    <w:rsid w:val="00C7707B"/>
    <w:rsid w:val="00C911FB"/>
    <w:rsid w:val="00C938A8"/>
    <w:rsid w:val="00C94010"/>
    <w:rsid w:val="00C9585A"/>
    <w:rsid w:val="00C95B9B"/>
    <w:rsid w:val="00C97A10"/>
    <w:rsid w:val="00CA0A06"/>
    <w:rsid w:val="00CA5BBB"/>
    <w:rsid w:val="00CA6D76"/>
    <w:rsid w:val="00CB14F5"/>
    <w:rsid w:val="00CB17C1"/>
    <w:rsid w:val="00CB1847"/>
    <w:rsid w:val="00CB6C0D"/>
    <w:rsid w:val="00CC79E0"/>
    <w:rsid w:val="00CD1B9F"/>
    <w:rsid w:val="00CD3AA4"/>
    <w:rsid w:val="00CD43AA"/>
    <w:rsid w:val="00CD4C67"/>
    <w:rsid w:val="00CD7D20"/>
    <w:rsid w:val="00CE0CF9"/>
    <w:rsid w:val="00CE170F"/>
    <w:rsid w:val="00CE190C"/>
    <w:rsid w:val="00CE4099"/>
    <w:rsid w:val="00CE4853"/>
    <w:rsid w:val="00CE590B"/>
    <w:rsid w:val="00CE5B40"/>
    <w:rsid w:val="00CE61C6"/>
    <w:rsid w:val="00CE75AC"/>
    <w:rsid w:val="00CF258E"/>
    <w:rsid w:val="00CF439C"/>
    <w:rsid w:val="00CF55EB"/>
    <w:rsid w:val="00CF5A93"/>
    <w:rsid w:val="00D019A1"/>
    <w:rsid w:val="00D03A34"/>
    <w:rsid w:val="00D063E8"/>
    <w:rsid w:val="00D06D74"/>
    <w:rsid w:val="00D07349"/>
    <w:rsid w:val="00D11578"/>
    <w:rsid w:val="00D124E7"/>
    <w:rsid w:val="00D132B5"/>
    <w:rsid w:val="00D15E98"/>
    <w:rsid w:val="00D21417"/>
    <w:rsid w:val="00D25273"/>
    <w:rsid w:val="00D3538A"/>
    <w:rsid w:val="00D36D7B"/>
    <w:rsid w:val="00D407FC"/>
    <w:rsid w:val="00D42545"/>
    <w:rsid w:val="00D47C47"/>
    <w:rsid w:val="00D47D1D"/>
    <w:rsid w:val="00D53532"/>
    <w:rsid w:val="00D543F9"/>
    <w:rsid w:val="00D60743"/>
    <w:rsid w:val="00D622F8"/>
    <w:rsid w:val="00D62FFC"/>
    <w:rsid w:val="00D7054B"/>
    <w:rsid w:val="00D72993"/>
    <w:rsid w:val="00D72C18"/>
    <w:rsid w:val="00D72C69"/>
    <w:rsid w:val="00D74824"/>
    <w:rsid w:val="00D77918"/>
    <w:rsid w:val="00D8012C"/>
    <w:rsid w:val="00D80885"/>
    <w:rsid w:val="00D81216"/>
    <w:rsid w:val="00D90B59"/>
    <w:rsid w:val="00D91568"/>
    <w:rsid w:val="00D91687"/>
    <w:rsid w:val="00D934A8"/>
    <w:rsid w:val="00D9426B"/>
    <w:rsid w:val="00DA4336"/>
    <w:rsid w:val="00DA7CCF"/>
    <w:rsid w:val="00DA7DB6"/>
    <w:rsid w:val="00DB0265"/>
    <w:rsid w:val="00DB13A9"/>
    <w:rsid w:val="00DB2373"/>
    <w:rsid w:val="00DB2398"/>
    <w:rsid w:val="00DB3887"/>
    <w:rsid w:val="00DB603F"/>
    <w:rsid w:val="00DB6B30"/>
    <w:rsid w:val="00DB73BE"/>
    <w:rsid w:val="00DB740F"/>
    <w:rsid w:val="00DC4E47"/>
    <w:rsid w:val="00DC7208"/>
    <w:rsid w:val="00DC7768"/>
    <w:rsid w:val="00DD6EA2"/>
    <w:rsid w:val="00DE1BAC"/>
    <w:rsid w:val="00DE35EF"/>
    <w:rsid w:val="00DE3FB6"/>
    <w:rsid w:val="00DE49A4"/>
    <w:rsid w:val="00DE6DEE"/>
    <w:rsid w:val="00DF4408"/>
    <w:rsid w:val="00DF4D56"/>
    <w:rsid w:val="00DF4E56"/>
    <w:rsid w:val="00DF6063"/>
    <w:rsid w:val="00DF611F"/>
    <w:rsid w:val="00E00197"/>
    <w:rsid w:val="00E0058D"/>
    <w:rsid w:val="00E00B30"/>
    <w:rsid w:val="00E02C41"/>
    <w:rsid w:val="00E11BDF"/>
    <w:rsid w:val="00E13ECD"/>
    <w:rsid w:val="00E246AB"/>
    <w:rsid w:val="00E24FC3"/>
    <w:rsid w:val="00E27C28"/>
    <w:rsid w:val="00E31952"/>
    <w:rsid w:val="00E35C28"/>
    <w:rsid w:val="00E36D24"/>
    <w:rsid w:val="00E414E7"/>
    <w:rsid w:val="00E420D2"/>
    <w:rsid w:val="00E42313"/>
    <w:rsid w:val="00E426C1"/>
    <w:rsid w:val="00E42E34"/>
    <w:rsid w:val="00E44907"/>
    <w:rsid w:val="00E559A7"/>
    <w:rsid w:val="00E5632A"/>
    <w:rsid w:val="00E57AB1"/>
    <w:rsid w:val="00E60778"/>
    <w:rsid w:val="00E60C6F"/>
    <w:rsid w:val="00E6198C"/>
    <w:rsid w:val="00E67940"/>
    <w:rsid w:val="00E76A45"/>
    <w:rsid w:val="00E822A2"/>
    <w:rsid w:val="00E863DB"/>
    <w:rsid w:val="00E917E2"/>
    <w:rsid w:val="00E96781"/>
    <w:rsid w:val="00E97EEE"/>
    <w:rsid w:val="00EA351C"/>
    <w:rsid w:val="00EA43BC"/>
    <w:rsid w:val="00EA47A7"/>
    <w:rsid w:val="00EA7B56"/>
    <w:rsid w:val="00EB0B07"/>
    <w:rsid w:val="00EB3C2D"/>
    <w:rsid w:val="00EC0DA9"/>
    <w:rsid w:val="00EC0FB4"/>
    <w:rsid w:val="00EC13D1"/>
    <w:rsid w:val="00EC2D87"/>
    <w:rsid w:val="00EC45BF"/>
    <w:rsid w:val="00EC4AF7"/>
    <w:rsid w:val="00EC5158"/>
    <w:rsid w:val="00ED2269"/>
    <w:rsid w:val="00EE31A4"/>
    <w:rsid w:val="00EE6046"/>
    <w:rsid w:val="00EF25FA"/>
    <w:rsid w:val="00F00063"/>
    <w:rsid w:val="00F00613"/>
    <w:rsid w:val="00F01191"/>
    <w:rsid w:val="00F015A2"/>
    <w:rsid w:val="00F024A1"/>
    <w:rsid w:val="00F05E9E"/>
    <w:rsid w:val="00F06A1A"/>
    <w:rsid w:val="00F10E65"/>
    <w:rsid w:val="00F13DC2"/>
    <w:rsid w:val="00F1483D"/>
    <w:rsid w:val="00F15F77"/>
    <w:rsid w:val="00F16F79"/>
    <w:rsid w:val="00F173B2"/>
    <w:rsid w:val="00F21E48"/>
    <w:rsid w:val="00F27111"/>
    <w:rsid w:val="00F27174"/>
    <w:rsid w:val="00F30013"/>
    <w:rsid w:val="00F31E92"/>
    <w:rsid w:val="00F33208"/>
    <w:rsid w:val="00F35E2F"/>
    <w:rsid w:val="00F4097A"/>
    <w:rsid w:val="00F422C6"/>
    <w:rsid w:val="00F4274E"/>
    <w:rsid w:val="00F42EF8"/>
    <w:rsid w:val="00F45845"/>
    <w:rsid w:val="00F45B1C"/>
    <w:rsid w:val="00F479D5"/>
    <w:rsid w:val="00F52C07"/>
    <w:rsid w:val="00F5407D"/>
    <w:rsid w:val="00F60B17"/>
    <w:rsid w:val="00F61907"/>
    <w:rsid w:val="00F62EE7"/>
    <w:rsid w:val="00F63680"/>
    <w:rsid w:val="00F6375D"/>
    <w:rsid w:val="00F64ACD"/>
    <w:rsid w:val="00F66579"/>
    <w:rsid w:val="00F666D2"/>
    <w:rsid w:val="00F67660"/>
    <w:rsid w:val="00F73C3C"/>
    <w:rsid w:val="00F74694"/>
    <w:rsid w:val="00F80342"/>
    <w:rsid w:val="00F81775"/>
    <w:rsid w:val="00F86DAE"/>
    <w:rsid w:val="00F90F00"/>
    <w:rsid w:val="00F92F0E"/>
    <w:rsid w:val="00F936B2"/>
    <w:rsid w:val="00F95BD9"/>
    <w:rsid w:val="00F95C67"/>
    <w:rsid w:val="00F9755D"/>
    <w:rsid w:val="00FA295F"/>
    <w:rsid w:val="00FB26D2"/>
    <w:rsid w:val="00FB52E6"/>
    <w:rsid w:val="00FB63C6"/>
    <w:rsid w:val="00FB756A"/>
    <w:rsid w:val="00FC096E"/>
    <w:rsid w:val="00FC339D"/>
    <w:rsid w:val="00FC458F"/>
    <w:rsid w:val="00FD2758"/>
    <w:rsid w:val="00FD6C62"/>
    <w:rsid w:val="00FE1F13"/>
    <w:rsid w:val="00FE5114"/>
    <w:rsid w:val="00FE6D5E"/>
    <w:rsid w:val="00FF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714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Обычный.Название подразделения"/>
    <w:rsid w:val="0047142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47142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24">
    <w:name w:val="Font Style24"/>
    <w:rsid w:val="0047142A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rsid w:val="004714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71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714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24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4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32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7732DB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c">
    <w:name w:val="_tgc"/>
    <w:rsid w:val="007732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714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Обычный.Название подразделения"/>
    <w:rsid w:val="0047142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47142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24">
    <w:name w:val="Font Style24"/>
    <w:rsid w:val="0047142A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rsid w:val="004714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71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714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24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4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32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7732DB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c">
    <w:name w:val="_tgc"/>
    <w:rsid w:val="00773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A2285-4A98-457F-AA3E-AEC7EB23B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3025</Words>
  <Characters>17247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Закшевский Георгий Васильевич</dc:creator>
  <cp:lastModifiedBy>Абарина Екатерина Викторовна</cp:lastModifiedBy>
  <cp:revision>3</cp:revision>
  <cp:lastPrinted>2016-05-10T14:43:00Z</cp:lastPrinted>
  <dcterms:created xsi:type="dcterms:W3CDTF">2017-12-29T07:30:00Z</dcterms:created>
  <dcterms:modified xsi:type="dcterms:W3CDTF">2017-12-29T07:31:00Z</dcterms:modified>
</cp:coreProperties>
</file>