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555EE1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704602">
        <w:rPr>
          <w:rFonts w:ascii="Arial" w:hAnsi="Arial" w:cs="Arial"/>
          <w:b/>
          <w:sz w:val="26"/>
          <w:szCs w:val="26"/>
        </w:rPr>
        <w:t>Описание механизма и результатов</w:t>
      </w: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817358" w:rsidRPr="00704602" w:rsidRDefault="00817358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817358" w:rsidRPr="00704602" w:rsidRDefault="00817358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817358" w:rsidRPr="00704602" w:rsidRDefault="00817358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817358" w:rsidRPr="00704602" w:rsidRDefault="00817358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817358" w:rsidRPr="00704602" w:rsidRDefault="00817358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817358" w:rsidRPr="00704602" w:rsidRDefault="00817358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9523C5" w:rsidRDefault="009523C5" w:rsidP="00ED17E9">
      <w:pPr>
        <w:spacing w:after="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523C5">
        <w:rPr>
          <w:rFonts w:ascii="Arial" w:hAnsi="Arial" w:cs="Arial"/>
          <w:b/>
          <w:sz w:val="32"/>
          <w:szCs w:val="32"/>
          <w:u w:val="single"/>
        </w:rPr>
        <w:t xml:space="preserve">Оценка эффективности осуществления закупок </w:t>
      </w:r>
    </w:p>
    <w:p w:rsidR="009523C5" w:rsidRPr="009523C5" w:rsidRDefault="009523C5" w:rsidP="00ED17E9">
      <w:pPr>
        <w:spacing w:after="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523C5">
        <w:rPr>
          <w:rFonts w:ascii="Arial" w:hAnsi="Arial" w:cs="Arial"/>
          <w:b/>
          <w:sz w:val="32"/>
          <w:szCs w:val="32"/>
          <w:u w:val="single"/>
        </w:rPr>
        <w:t xml:space="preserve">товаров, работ, услуг </w:t>
      </w:r>
    </w:p>
    <w:p w:rsidR="004E6151" w:rsidRPr="009523C5" w:rsidRDefault="009523C5" w:rsidP="00ED17E9">
      <w:pPr>
        <w:spacing w:after="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523C5">
        <w:rPr>
          <w:rFonts w:ascii="Arial" w:hAnsi="Arial" w:cs="Arial"/>
          <w:b/>
          <w:sz w:val="32"/>
          <w:szCs w:val="32"/>
          <w:u w:val="single"/>
        </w:rPr>
        <w:t>для обеспечения нужд Тюменской области</w:t>
      </w: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ED17E9" w:rsidRPr="00704602" w:rsidRDefault="00ED17E9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704602">
        <w:rPr>
          <w:rFonts w:ascii="Arial" w:hAnsi="Arial" w:cs="Arial"/>
          <w:b/>
          <w:sz w:val="26"/>
          <w:szCs w:val="26"/>
        </w:rPr>
        <w:t>Содержание</w:t>
      </w:r>
    </w:p>
    <w:p w:rsidR="00561A7F" w:rsidRPr="00704602" w:rsidRDefault="00561A7F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561A7F" w:rsidRPr="00704602" w:rsidRDefault="00561A7F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5"/>
        <w:gridCol w:w="1785"/>
      </w:tblGrid>
      <w:tr w:rsidR="00561A7F" w:rsidRPr="00704602" w:rsidTr="00537E8F">
        <w:tc>
          <w:tcPr>
            <w:tcW w:w="8695" w:type="dxa"/>
          </w:tcPr>
          <w:p w:rsidR="00561A7F" w:rsidRPr="00704602" w:rsidRDefault="00561A7F" w:rsidP="00537E8F">
            <w:pPr>
              <w:spacing w:line="60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704602">
              <w:rPr>
                <w:rFonts w:ascii="Arial" w:hAnsi="Arial" w:cs="Arial"/>
                <w:sz w:val="26"/>
                <w:szCs w:val="26"/>
              </w:rPr>
              <w:t>1. Нормативно правовые акты</w:t>
            </w:r>
          </w:p>
        </w:tc>
        <w:tc>
          <w:tcPr>
            <w:tcW w:w="1785" w:type="dxa"/>
          </w:tcPr>
          <w:p w:rsidR="00561A7F" w:rsidRPr="00704602" w:rsidRDefault="00561A7F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704602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</w:tr>
      <w:tr w:rsidR="00561A7F" w:rsidRPr="00704602" w:rsidTr="00537E8F">
        <w:tc>
          <w:tcPr>
            <w:tcW w:w="8695" w:type="dxa"/>
          </w:tcPr>
          <w:p w:rsidR="00561A7F" w:rsidRPr="00704602" w:rsidRDefault="00561A7F" w:rsidP="009523C5">
            <w:pPr>
              <w:spacing w:line="60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704602">
              <w:rPr>
                <w:rFonts w:ascii="Arial" w:hAnsi="Arial" w:cs="Arial"/>
                <w:sz w:val="26"/>
                <w:szCs w:val="26"/>
              </w:rPr>
              <w:t xml:space="preserve">2. Правила </w:t>
            </w:r>
            <w:r w:rsidR="009523C5">
              <w:rPr>
                <w:rFonts w:ascii="Arial" w:hAnsi="Arial" w:cs="Arial"/>
                <w:sz w:val="26"/>
                <w:szCs w:val="26"/>
              </w:rPr>
              <w:t>проведения оценки</w:t>
            </w:r>
            <w:r w:rsidRPr="00704602">
              <w:rPr>
                <w:rFonts w:ascii="Arial" w:hAnsi="Arial" w:cs="Arial"/>
                <w:sz w:val="26"/>
                <w:szCs w:val="26"/>
              </w:rPr>
              <w:t xml:space="preserve"> эффективности закупок</w:t>
            </w:r>
          </w:p>
        </w:tc>
        <w:tc>
          <w:tcPr>
            <w:tcW w:w="1785" w:type="dxa"/>
          </w:tcPr>
          <w:p w:rsidR="00561A7F" w:rsidRPr="00704602" w:rsidRDefault="00ED17E9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</w:tr>
      <w:tr w:rsidR="00561A7F" w:rsidRPr="00704602" w:rsidTr="00537E8F">
        <w:tc>
          <w:tcPr>
            <w:tcW w:w="8695" w:type="dxa"/>
          </w:tcPr>
          <w:p w:rsidR="00561A7F" w:rsidRPr="00704602" w:rsidRDefault="00561A7F" w:rsidP="00537E8F">
            <w:pPr>
              <w:spacing w:line="60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704602">
              <w:rPr>
                <w:rFonts w:ascii="Arial" w:hAnsi="Arial" w:cs="Arial"/>
                <w:sz w:val="26"/>
                <w:szCs w:val="26"/>
              </w:rPr>
              <w:t>3. Методика оценки эффективности закупок</w:t>
            </w:r>
          </w:p>
        </w:tc>
        <w:tc>
          <w:tcPr>
            <w:tcW w:w="1785" w:type="dxa"/>
          </w:tcPr>
          <w:p w:rsidR="00561A7F" w:rsidRPr="00704602" w:rsidRDefault="00060038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</w:tr>
      <w:tr w:rsidR="00561A7F" w:rsidRPr="00704602" w:rsidTr="00537E8F">
        <w:tc>
          <w:tcPr>
            <w:tcW w:w="8695" w:type="dxa"/>
          </w:tcPr>
          <w:p w:rsidR="00561A7F" w:rsidRPr="00704602" w:rsidRDefault="00561A7F" w:rsidP="00537E8F">
            <w:pPr>
              <w:spacing w:line="600" w:lineRule="auto"/>
              <w:rPr>
                <w:rFonts w:ascii="Arial" w:hAnsi="Arial" w:cs="Arial"/>
                <w:b/>
                <w:sz w:val="26"/>
                <w:szCs w:val="26"/>
              </w:rPr>
            </w:pPr>
            <w:r w:rsidRPr="00704602">
              <w:rPr>
                <w:rFonts w:ascii="Arial" w:hAnsi="Arial" w:cs="Arial"/>
                <w:sz w:val="26"/>
                <w:szCs w:val="26"/>
              </w:rPr>
              <w:t xml:space="preserve">4. </w:t>
            </w:r>
            <w:r w:rsidR="00ED17E9" w:rsidRPr="00ED17E9">
              <w:rPr>
                <w:rFonts w:ascii="Arial" w:hAnsi="Arial" w:cs="Arial"/>
                <w:sz w:val="26"/>
                <w:szCs w:val="26"/>
              </w:rPr>
              <w:t xml:space="preserve">Критерий </w:t>
            </w:r>
            <w:proofErr w:type="spellStart"/>
            <w:r w:rsidR="00ED17E9" w:rsidRPr="00ED17E9">
              <w:rPr>
                <w:rFonts w:ascii="Arial" w:hAnsi="Arial" w:cs="Arial"/>
                <w:sz w:val="26"/>
                <w:szCs w:val="26"/>
              </w:rPr>
              <w:t>конкурентности</w:t>
            </w:r>
            <w:proofErr w:type="spellEnd"/>
            <w:r w:rsidR="00ED17E9" w:rsidRPr="00ED17E9">
              <w:rPr>
                <w:rFonts w:ascii="Arial" w:hAnsi="Arial" w:cs="Arial"/>
                <w:sz w:val="26"/>
                <w:szCs w:val="26"/>
              </w:rPr>
              <w:t xml:space="preserve"> закупок</w:t>
            </w:r>
          </w:p>
        </w:tc>
        <w:tc>
          <w:tcPr>
            <w:tcW w:w="1785" w:type="dxa"/>
          </w:tcPr>
          <w:p w:rsidR="00561A7F" w:rsidRPr="00704602" w:rsidRDefault="00ED17E9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</w:tr>
      <w:tr w:rsidR="00B50022" w:rsidRPr="00704602" w:rsidTr="00537E8F">
        <w:tc>
          <w:tcPr>
            <w:tcW w:w="8695" w:type="dxa"/>
          </w:tcPr>
          <w:p w:rsidR="00B50022" w:rsidRPr="00704602" w:rsidRDefault="00F21DD6" w:rsidP="00537E8F">
            <w:pPr>
              <w:spacing w:line="600" w:lineRule="auto"/>
              <w:rPr>
                <w:rFonts w:ascii="Arial" w:hAnsi="Arial" w:cs="Arial"/>
                <w:sz w:val="26"/>
                <w:szCs w:val="26"/>
              </w:rPr>
            </w:pPr>
            <w:r w:rsidRPr="00F21DD6">
              <w:rPr>
                <w:rFonts w:ascii="Arial" w:hAnsi="Arial" w:cs="Arial"/>
                <w:sz w:val="26"/>
                <w:szCs w:val="26"/>
              </w:rPr>
              <w:t>5. Критерий экономности</w:t>
            </w:r>
          </w:p>
        </w:tc>
        <w:tc>
          <w:tcPr>
            <w:tcW w:w="1785" w:type="dxa"/>
          </w:tcPr>
          <w:p w:rsidR="00B50022" w:rsidRDefault="00F21DD6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</w:tr>
      <w:tr w:rsidR="00561A7F" w:rsidRPr="00704602" w:rsidTr="00537E8F">
        <w:tc>
          <w:tcPr>
            <w:tcW w:w="8695" w:type="dxa"/>
          </w:tcPr>
          <w:p w:rsidR="00561A7F" w:rsidRPr="00704602" w:rsidRDefault="00E66D22" w:rsidP="00537E8F">
            <w:pPr>
              <w:spacing w:line="60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6. </w:t>
            </w:r>
            <w:r w:rsidRPr="00E66D22">
              <w:rPr>
                <w:rFonts w:ascii="Arial" w:hAnsi="Arial" w:cs="Arial"/>
                <w:sz w:val="26"/>
                <w:szCs w:val="26"/>
              </w:rPr>
              <w:t>Критерий соблюдения законодательства в сфере закупок</w:t>
            </w:r>
          </w:p>
        </w:tc>
        <w:tc>
          <w:tcPr>
            <w:tcW w:w="1785" w:type="dxa"/>
          </w:tcPr>
          <w:p w:rsidR="00561A7F" w:rsidRPr="00704602" w:rsidRDefault="00E66D22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</w:tc>
      </w:tr>
      <w:tr w:rsidR="001149E1" w:rsidRPr="00704602" w:rsidTr="00537E8F">
        <w:tc>
          <w:tcPr>
            <w:tcW w:w="8695" w:type="dxa"/>
          </w:tcPr>
          <w:p w:rsidR="001149E1" w:rsidRDefault="001149E1" w:rsidP="00537E8F">
            <w:pPr>
              <w:spacing w:line="60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7. </w:t>
            </w:r>
            <w:r w:rsidRPr="001149E1">
              <w:rPr>
                <w:rFonts w:ascii="Arial" w:hAnsi="Arial" w:cs="Arial"/>
                <w:sz w:val="26"/>
                <w:szCs w:val="26"/>
              </w:rPr>
              <w:t>Критерий эффективности планирования</w:t>
            </w:r>
          </w:p>
        </w:tc>
        <w:tc>
          <w:tcPr>
            <w:tcW w:w="1785" w:type="dxa"/>
          </w:tcPr>
          <w:p w:rsidR="001149E1" w:rsidRDefault="001149E1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</w:t>
            </w:r>
          </w:p>
        </w:tc>
      </w:tr>
      <w:tr w:rsidR="00561A7F" w:rsidRPr="00704602" w:rsidTr="00537E8F">
        <w:tc>
          <w:tcPr>
            <w:tcW w:w="8695" w:type="dxa"/>
          </w:tcPr>
          <w:p w:rsidR="00561A7F" w:rsidRPr="00704602" w:rsidRDefault="001149E1" w:rsidP="00537E8F">
            <w:pPr>
              <w:spacing w:line="60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8. </w:t>
            </w:r>
            <w:r w:rsidRPr="001149E1">
              <w:rPr>
                <w:rFonts w:ascii="Arial" w:hAnsi="Arial" w:cs="Arial"/>
                <w:sz w:val="26"/>
                <w:szCs w:val="26"/>
              </w:rPr>
              <w:t>Критерий подозрительности закупок</w:t>
            </w:r>
          </w:p>
        </w:tc>
        <w:tc>
          <w:tcPr>
            <w:tcW w:w="1785" w:type="dxa"/>
          </w:tcPr>
          <w:p w:rsidR="00561A7F" w:rsidRPr="00704602" w:rsidRDefault="001149E1" w:rsidP="00537E8F">
            <w:pPr>
              <w:tabs>
                <w:tab w:val="left" w:pos="1279"/>
              </w:tabs>
              <w:spacing w:line="600" w:lineRule="auto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ab/>
              <w:t>11</w:t>
            </w:r>
          </w:p>
        </w:tc>
      </w:tr>
      <w:tr w:rsidR="003248DB" w:rsidRPr="00704602" w:rsidTr="00537E8F">
        <w:tc>
          <w:tcPr>
            <w:tcW w:w="8695" w:type="dxa"/>
          </w:tcPr>
          <w:p w:rsidR="003248DB" w:rsidRDefault="003A0C8D" w:rsidP="00537E8F">
            <w:pPr>
              <w:spacing w:line="60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9. </w:t>
            </w:r>
            <w:r w:rsidRPr="003A0C8D">
              <w:rPr>
                <w:rFonts w:ascii="Arial" w:hAnsi="Arial" w:cs="Arial"/>
                <w:sz w:val="26"/>
                <w:szCs w:val="26"/>
              </w:rPr>
              <w:t>Критерий соблюдения принципа профессионализма заказчиков</w:t>
            </w:r>
          </w:p>
        </w:tc>
        <w:tc>
          <w:tcPr>
            <w:tcW w:w="1785" w:type="dxa"/>
          </w:tcPr>
          <w:p w:rsidR="003248DB" w:rsidRDefault="00537AA2" w:rsidP="00537E8F">
            <w:pPr>
              <w:tabs>
                <w:tab w:val="left" w:pos="1279"/>
              </w:tabs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</w:t>
            </w:r>
          </w:p>
        </w:tc>
      </w:tr>
      <w:tr w:rsidR="00561A7F" w:rsidRPr="00704602" w:rsidTr="00537E8F">
        <w:tc>
          <w:tcPr>
            <w:tcW w:w="8695" w:type="dxa"/>
          </w:tcPr>
          <w:p w:rsidR="00561A7F" w:rsidRPr="00704602" w:rsidRDefault="0034215F" w:rsidP="00537E8F">
            <w:pPr>
              <w:spacing w:line="60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="00561A7F" w:rsidRPr="00704602">
              <w:rPr>
                <w:rFonts w:ascii="Arial" w:hAnsi="Arial" w:cs="Arial"/>
                <w:sz w:val="26"/>
                <w:szCs w:val="26"/>
              </w:rPr>
              <w:t>. Итоговый рейтинг</w:t>
            </w:r>
          </w:p>
        </w:tc>
        <w:tc>
          <w:tcPr>
            <w:tcW w:w="1785" w:type="dxa"/>
          </w:tcPr>
          <w:p w:rsidR="00561A7F" w:rsidRPr="00704602" w:rsidRDefault="00537AA2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13</w:t>
            </w:r>
          </w:p>
        </w:tc>
      </w:tr>
      <w:tr w:rsidR="00561A7F" w:rsidRPr="00704602" w:rsidTr="00537E8F">
        <w:tc>
          <w:tcPr>
            <w:tcW w:w="8695" w:type="dxa"/>
          </w:tcPr>
          <w:p w:rsidR="00561A7F" w:rsidRPr="00704602" w:rsidRDefault="001D1F00" w:rsidP="00537E8F">
            <w:pPr>
              <w:spacing w:line="60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11.</w:t>
            </w:r>
            <w:r w:rsidRPr="001D1F00">
              <w:rPr>
                <w:rFonts w:ascii="Arial" w:hAnsi="Arial" w:cs="Arial"/>
                <w:sz w:val="26"/>
                <w:szCs w:val="26"/>
              </w:rPr>
              <w:t>Результаты проведения оценки эффективности закупок</w:t>
            </w:r>
          </w:p>
        </w:tc>
        <w:tc>
          <w:tcPr>
            <w:tcW w:w="1785" w:type="dxa"/>
          </w:tcPr>
          <w:p w:rsidR="00561A7F" w:rsidRPr="00704602" w:rsidRDefault="00537AA2" w:rsidP="00537E8F">
            <w:pPr>
              <w:spacing w:line="60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</w:t>
            </w:r>
          </w:p>
        </w:tc>
      </w:tr>
    </w:tbl>
    <w:p w:rsidR="00561A7F" w:rsidRPr="00704602" w:rsidRDefault="00561A7F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611376" w:rsidRPr="00704602" w:rsidRDefault="00611376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A64A43" w:rsidRPr="00704602" w:rsidRDefault="00A64A43" w:rsidP="00ED17E9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704602">
        <w:rPr>
          <w:rFonts w:ascii="Arial" w:hAnsi="Arial" w:cs="Arial"/>
          <w:b/>
          <w:sz w:val="26"/>
          <w:szCs w:val="26"/>
        </w:rPr>
        <w:t>Нормативно правовые акты</w:t>
      </w:r>
    </w:p>
    <w:p w:rsidR="00A64A43" w:rsidRPr="00704602" w:rsidRDefault="00A64A43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021F6F" w:rsidRDefault="00021F6F" w:rsidP="00ED17E9">
      <w:pPr>
        <w:pStyle w:val="a3"/>
        <w:ind w:left="0" w:firstLine="567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В Тюменской области с 2005 года функционирует вертикально-интегрированная система управления закупками. В централизованную модель встроены и структурированы все государственные заказчики региона – органы государственной власти, бюджетные и казенные учреждения, унитарные предприятия, осуществляющие закупки в рамках Федерального закона о контрактной системе 44-ФЗ. Полномочия по организации и </w:t>
      </w:r>
      <w:r w:rsidR="009523C5">
        <w:rPr>
          <w:rFonts w:ascii="Arial" w:hAnsi="Arial" w:cs="Arial"/>
          <w:sz w:val="26"/>
          <w:szCs w:val="26"/>
        </w:rPr>
        <w:t>оценке</w:t>
      </w:r>
      <w:r w:rsidRPr="00704602">
        <w:rPr>
          <w:rFonts w:ascii="Arial" w:hAnsi="Arial" w:cs="Arial"/>
          <w:sz w:val="26"/>
          <w:szCs w:val="26"/>
        </w:rPr>
        <w:t xml:space="preserve"> эффективности закупок переданы единому уполномоченному органу - Управлению государственных закупок Тюменской области. Созданное в целях недопущения неправомерных действий и ошибок при размещении государственного заказа, централизации системы государственных закупок, повышения эффективности бюджетных расходов, прозрачности, доступности и открытости государственных закупок, с 2014 года Управление дополнительно наделено функциями регулятора контрактной системы. </w:t>
      </w:r>
      <w:r w:rsidR="002D14C1" w:rsidRPr="00704602">
        <w:rPr>
          <w:rFonts w:ascii="Arial" w:hAnsi="Arial" w:cs="Arial"/>
          <w:sz w:val="26"/>
          <w:szCs w:val="26"/>
        </w:rPr>
        <w:t xml:space="preserve">В этом качестве Управление формирует </w:t>
      </w:r>
      <w:r w:rsidR="009523C5">
        <w:rPr>
          <w:rFonts w:ascii="Arial" w:hAnsi="Arial" w:cs="Arial"/>
          <w:sz w:val="26"/>
          <w:szCs w:val="26"/>
        </w:rPr>
        <w:t xml:space="preserve">региональную </w:t>
      </w:r>
      <w:r w:rsidR="002D14C1" w:rsidRPr="00704602">
        <w:rPr>
          <w:rFonts w:ascii="Arial" w:hAnsi="Arial" w:cs="Arial"/>
          <w:sz w:val="26"/>
          <w:szCs w:val="26"/>
        </w:rPr>
        <w:t>нормативную базу в сфере закупок, проводит работу по повышению уровня профессионализма заказчиков, осуществляет весь спектр мероприятий по повышению эффективности государственных и муниципальных закупок.</w:t>
      </w:r>
    </w:p>
    <w:p w:rsidR="00B33C0B" w:rsidRPr="00B33C0B" w:rsidRDefault="00B33C0B" w:rsidP="00ED17E9">
      <w:pPr>
        <w:pStyle w:val="a3"/>
        <w:ind w:left="0" w:firstLine="567"/>
        <w:jc w:val="both"/>
        <w:rPr>
          <w:rFonts w:ascii="Arial" w:hAnsi="Arial" w:cs="Arial"/>
          <w:sz w:val="26"/>
          <w:szCs w:val="26"/>
        </w:rPr>
      </w:pPr>
      <w:r w:rsidRPr="00B33C0B">
        <w:rPr>
          <w:rFonts w:ascii="Arial" w:hAnsi="Arial" w:cs="Arial"/>
          <w:sz w:val="26"/>
          <w:szCs w:val="26"/>
        </w:rPr>
        <w:t xml:space="preserve">Все важнейшие проекты в сфере закупок, реализуемые сегодня в Тюменской области, направлены в первую очередь на повышение эффективности закупок и оптимизацию закупочного процесса в целом.  </w:t>
      </w:r>
    </w:p>
    <w:p w:rsidR="00B33C0B" w:rsidRPr="00704602" w:rsidRDefault="00B33C0B" w:rsidP="00ED17E9">
      <w:pPr>
        <w:pStyle w:val="a3"/>
        <w:ind w:left="0" w:firstLine="567"/>
        <w:jc w:val="both"/>
        <w:rPr>
          <w:rFonts w:ascii="Arial" w:hAnsi="Arial" w:cs="Arial"/>
          <w:sz w:val="26"/>
          <w:szCs w:val="26"/>
        </w:rPr>
      </w:pPr>
      <w:r w:rsidRPr="00B33C0B">
        <w:rPr>
          <w:rFonts w:ascii="Arial" w:hAnsi="Arial" w:cs="Arial"/>
          <w:sz w:val="26"/>
          <w:szCs w:val="26"/>
        </w:rPr>
        <w:t>Основным инструментом, позволяющим выявлять резервы повышения эффективности закупок, определять зоны, требующие приоритетно</w:t>
      </w:r>
      <w:r w:rsidR="009523C5">
        <w:rPr>
          <w:rFonts w:ascii="Arial" w:hAnsi="Arial" w:cs="Arial"/>
          <w:sz w:val="26"/>
          <w:szCs w:val="26"/>
        </w:rPr>
        <w:t>го внимания, является проводимая</w:t>
      </w:r>
      <w:r w:rsidRPr="00B33C0B">
        <w:rPr>
          <w:rFonts w:ascii="Arial" w:hAnsi="Arial" w:cs="Arial"/>
          <w:sz w:val="26"/>
          <w:szCs w:val="26"/>
        </w:rPr>
        <w:t xml:space="preserve"> в регионе на постоянной основе </w:t>
      </w:r>
      <w:r w:rsidR="009523C5">
        <w:rPr>
          <w:rFonts w:ascii="Arial" w:hAnsi="Arial" w:cs="Arial"/>
          <w:sz w:val="26"/>
          <w:szCs w:val="26"/>
        </w:rPr>
        <w:t>оценка</w:t>
      </w:r>
      <w:r w:rsidRPr="00B33C0B">
        <w:rPr>
          <w:rFonts w:ascii="Arial" w:hAnsi="Arial" w:cs="Arial"/>
          <w:sz w:val="26"/>
          <w:szCs w:val="26"/>
        </w:rPr>
        <w:t xml:space="preserve"> эффективности закупок.</w:t>
      </w:r>
    </w:p>
    <w:p w:rsidR="00021F6F" w:rsidRPr="00704602" w:rsidRDefault="00021F6F" w:rsidP="00ED17E9">
      <w:pPr>
        <w:pStyle w:val="a3"/>
        <w:ind w:left="0" w:firstLine="567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В Тюменской области приняты следующие </w:t>
      </w:r>
      <w:r w:rsidR="002D14C1" w:rsidRPr="00704602">
        <w:rPr>
          <w:rFonts w:ascii="Arial" w:hAnsi="Arial" w:cs="Arial"/>
          <w:sz w:val="26"/>
          <w:szCs w:val="26"/>
        </w:rPr>
        <w:t xml:space="preserve">нормативные акты, регулирующие </w:t>
      </w:r>
      <w:r w:rsidR="009523C5">
        <w:rPr>
          <w:rFonts w:ascii="Arial" w:hAnsi="Arial" w:cs="Arial"/>
          <w:sz w:val="26"/>
          <w:szCs w:val="26"/>
        </w:rPr>
        <w:t>проведение</w:t>
      </w:r>
      <w:r w:rsidR="002D14C1" w:rsidRPr="00704602">
        <w:rPr>
          <w:rFonts w:ascii="Arial" w:hAnsi="Arial" w:cs="Arial"/>
          <w:sz w:val="26"/>
          <w:szCs w:val="26"/>
        </w:rPr>
        <w:t xml:space="preserve"> оценки эффективности закупок:</w:t>
      </w:r>
    </w:p>
    <w:p w:rsidR="00021F6F" w:rsidRPr="00704602" w:rsidRDefault="00021F6F" w:rsidP="00ED17E9">
      <w:pPr>
        <w:pStyle w:val="a3"/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Постановление Правительства Тюменской области от 10.12.2013 № 550-п «Об утверждении Положения об Управлении государственных закупок Тюменской области»;</w:t>
      </w:r>
    </w:p>
    <w:p w:rsidR="00021F6F" w:rsidRPr="00704602" w:rsidRDefault="00021F6F" w:rsidP="00ED17E9">
      <w:pPr>
        <w:pStyle w:val="a3"/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Распоряжение Правительства Тюменской области от 27.12.2013 N 2518-рп (ред. от 30.08.2017) "Об утверждении Порядка взаимодействия уполномоченного органа и заказчиков Тюменской области"; </w:t>
      </w:r>
    </w:p>
    <w:p w:rsidR="00021F6F" w:rsidRPr="00704602" w:rsidRDefault="00021F6F" w:rsidP="00ED17E9">
      <w:pPr>
        <w:pStyle w:val="a3"/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Постановление Правительства Тюменской области от 27.09.2018 № 369-п «О внесении изменений в постановление от 10.12.2013 № 550-п, распоряжение от 28.06.2010 № 885-рп»;</w:t>
      </w:r>
    </w:p>
    <w:p w:rsidR="00021F6F" w:rsidRPr="00704602" w:rsidRDefault="00021F6F" w:rsidP="00ED17E9">
      <w:pPr>
        <w:pStyle w:val="a3"/>
        <w:numPr>
          <w:ilvl w:val="0"/>
          <w:numId w:val="6"/>
        </w:numPr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Распоряжение Управления государственных закупок Тюменской области от 17.10.2018 №</w:t>
      </w:r>
      <w:r w:rsidR="009523C5">
        <w:rPr>
          <w:rFonts w:ascii="Arial" w:hAnsi="Arial" w:cs="Arial"/>
          <w:sz w:val="26"/>
          <w:szCs w:val="26"/>
        </w:rPr>
        <w:t>002</w:t>
      </w:r>
      <w:r w:rsidRPr="00704602">
        <w:rPr>
          <w:rFonts w:ascii="Arial" w:hAnsi="Arial" w:cs="Arial"/>
          <w:sz w:val="26"/>
          <w:szCs w:val="26"/>
        </w:rPr>
        <w:t xml:space="preserve"> «Об утверждении Методики оценки эффективности осуществления закупок товаров, работ, услуг для обеспечения нужд Тюменской области».</w:t>
      </w:r>
    </w:p>
    <w:p w:rsidR="00021F6F" w:rsidRPr="00704602" w:rsidRDefault="00021F6F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021F6F" w:rsidRPr="00704602" w:rsidRDefault="00021F6F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E10C2A" w:rsidRPr="00704602" w:rsidRDefault="00E10C2A" w:rsidP="00ED17E9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704602">
        <w:rPr>
          <w:rFonts w:ascii="Arial" w:hAnsi="Arial" w:cs="Arial"/>
          <w:b/>
          <w:sz w:val="26"/>
          <w:szCs w:val="26"/>
        </w:rPr>
        <w:t xml:space="preserve">Правила </w:t>
      </w:r>
      <w:r w:rsidR="009523C5">
        <w:rPr>
          <w:rFonts w:ascii="Arial" w:hAnsi="Arial" w:cs="Arial"/>
          <w:b/>
          <w:sz w:val="26"/>
          <w:szCs w:val="26"/>
        </w:rPr>
        <w:t>проведения оценки</w:t>
      </w:r>
      <w:r w:rsidRPr="00704602">
        <w:rPr>
          <w:rFonts w:ascii="Arial" w:hAnsi="Arial" w:cs="Arial"/>
          <w:b/>
          <w:sz w:val="26"/>
          <w:szCs w:val="26"/>
        </w:rPr>
        <w:t xml:space="preserve"> эффективности закупок</w:t>
      </w:r>
    </w:p>
    <w:p w:rsidR="00E10C2A" w:rsidRPr="00704602" w:rsidRDefault="00E10C2A" w:rsidP="00ED17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704602" w:rsidRDefault="00704602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Оценка эффективности осуществления закупок представляет собой комплексную систему наблюдений в сфере закупок, осуществляемых на постоянной основе посредством сбора, обобщения, систематизации и оценки информации об осуществлении закупок для обеспечения нужд Тюменской области.</w:t>
      </w:r>
    </w:p>
    <w:p w:rsidR="00704602" w:rsidRPr="00704602" w:rsidRDefault="00704602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Источниками информации являются Единая информационная система в сфере закупок, региональная информационная система «АЦК-Госзаказ», данные</w:t>
      </w:r>
      <w:r w:rsidRPr="00704602">
        <w:rPr>
          <w:rFonts w:ascii="Arial" w:hAnsi="Arial" w:cs="Arial"/>
          <w:sz w:val="26"/>
          <w:szCs w:val="26"/>
        </w:rPr>
        <w:t xml:space="preserve"> статистической отчетности</w:t>
      </w:r>
      <w:r>
        <w:rPr>
          <w:rFonts w:ascii="Arial" w:hAnsi="Arial" w:cs="Arial"/>
          <w:sz w:val="26"/>
          <w:szCs w:val="26"/>
        </w:rPr>
        <w:t xml:space="preserve"> заказчиков, иные открытые</w:t>
      </w:r>
      <w:r w:rsidRPr="00704602">
        <w:rPr>
          <w:rFonts w:ascii="Arial" w:hAnsi="Arial" w:cs="Arial"/>
          <w:sz w:val="26"/>
          <w:szCs w:val="26"/>
        </w:rPr>
        <w:t xml:space="preserve"> источник</w:t>
      </w:r>
      <w:r>
        <w:rPr>
          <w:rFonts w:ascii="Arial" w:hAnsi="Arial" w:cs="Arial"/>
          <w:sz w:val="26"/>
          <w:szCs w:val="26"/>
        </w:rPr>
        <w:t>и</w:t>
      </w:r>
      <w:r w:rsidRPr="00704602">
        <w:rPr>
          <w:rFonts w:ascii="Arial" w:hAnsi="Arial" w:cs="Arial"/>
          <w:sz w:val="26"/>
          <w:szCs w:val="26"/>
        </w:rPr>
        <w:t xml:space="preserve"> информации</w:t>
      </w:r>
      <w:r>
        <w:rPr>
          <w:rFonts w:ascii="Arial" w:hAnsi="Arial" w:cs="Arial"/>
          <w:sz w:val="26"/>
          <w:szCs w:val="26"/>
        </w:rPr>
        <w:t>.</w:t>
      </w:r>
    </w:p>
    <w:p w:rsidR="00704602" w:rsidRPr="00704602" w:rsidRDefault="00704602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Оценка эффективности осуществления закупок проводится нарастающим итогом на основании расчета соответствующих показателей (критериев) в разрезе закупок органов государственной власти Тюменской области (с учетом подведомственных учреждений) и муниципальных образований (городских округов) Тюменской области, в целом по закупкам для обеспечения нужд Тюменской области.</w:t>
      </w:r>
    </w:p>
    <w:p w:rsidR="00704602" w:rsidRDefault="00704602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По результатам полугодия не позднее 31 июля, по результатам года не позднее 15 февраля следующего года информация о достигнутых показателях эффективности государственных (муниципальных) закупок в форме официального письма доводится до руководителей соответствующих органов государственной власти, глав соответствующих муниципальных образований (городских округов). Информация должна содержать интегральный показатель оценки эффективности по каждому критерию и совокупной оценки эффективности закупок за отчетный период.</w:t>
      </w:r>
    </w:p>
    <w:p w:rsidR="00704602" w:rsidRDefault="00704602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423FF" w:rsidRPr="00704602" w:rsidRDefault="00B423FF" w:rsidP="00ED17E9">
      <w:pPr>
        <w:pStyle w:val="ConsPlusNormal"/>
        <w:spacing w:line="276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B33C0B" w:rsidRPr="00B33C0B" w:rsidRDefault="009523C5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Оценка</w:t>
      </w:r>
      <w:r w:rsidR="00B33C0B" w:rsidRPr="00B33C0B">
        <w:rPr>
          <w:rFonts w:ascii="Arial" w:hAnsi="Arial" w:cs="Arial"/>
          <w:sz w:val="26"/>
          <w:szCs w:val="26"/>
        </w:rPr>
        <w:t xml:space="preserve"> эффективности закупок для нужд Тюменской области проводится в два этапа: оценивается эффективность осуществления самих закупок и дополнительно оценивается уровень профессионализма специалистов контрактных служб заказчиков.</w:t>
      </w:r>
    </w:p>
    <w:p w:rsidR="00B33C0B" w:rsidRPr="00B33C0B" w:rsidRDefault="00B33C0B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B33C0B">
        <w:rPr>
          <w:rFonts w:ascii="Arial" w:hAnsi="Arial" w:cs="Arial"/>
          <w:sz w:val="26"/>
          <w:szCs w:val="26"/>
        </w:rPr>
        <w:t xml:space="preserve">Первый этап определяет качество проведения закупок по 5 основным критериям, каждый из которых в свою очередь включает несколько показателей. Самым важным, весомым критерием является Критерий </w:t>
      </w:r>
      <w:proofErr w:type="spellStart"/>
      <w:r w:rsidRPr="00B33C0B">
        <w:rPr>
          <w:rFonts w:ascii="Arial" w:hAnsi="Arial" w:cs="Arial"/>
          <w:sz w:val="26"/>
          <w:szCs w:val="26"/>
        </w:rPr>
        <w:t>конкурентности</w:t>
      </w:r>
      <w:proofErr w:type="spellEnd"/>
      <w:r w:rsidRPr="00B33C0B">
        <w:rPr>
          <w:rFonts w:ascii="Arial" w:hAnsi="Arial" w:cs="Arial"/>
          <w:sz w:val="26"/>
          <w:szCs w:val="26"/>
        </w:rPr>
        <w:t xml:space="preserve"> закупок. Его вес в общей оценке является преобладающим – 43%. За ним по степени важности следуют Критерий подозрительности закупок (21%), Критерий соблюдения законодательства в сфере закупок (18%), Критерий экономности (12%) и Критерий качества планирования (6%). В рамках дальнейшей презентации каждый критерий будет рассмотрен более подробно.</w:t>
      </w:r>
    </w:p>
    <w:p w:rsidR="00704602" w:rsidRDefault="00B33C0B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B33C0B">
        <w:rPr>
          <w:rFonts w:ascii="Arial" w:hAnsi="Arial" w:cs="Arial"/>
          <w:sz w:val="26"/>
          <w:szCs w:val="26"/>
        </w:rPr>
        <w:t xml:space="preserve">Второй этап состоит из оценки уровня профессионализма специалистов контрактных служб заказчиков. Необходимость </w:t>
      </w:r>
      <w:r w:rsidR="009523C5">
        <w:rPr>
          <w:rFonts w:ascii="Arial" w:hAnsi="Arial" w:cs="Arial"/>
          <w:sz w:val="26"/>
          <w:szCs w:val="26"/>
        </w:rPr>
        <w:t xml:space="preserve">ее </w:t>
      </w:r>
      <w:proofErr w:type="spellStart"/>
      <w:r w:rsidRPr="00B33C0B">
        <w:rPr>
          <w:rFonts w:ascii="Arial" w:hAnsi="Arial" w:cs="Arial"/>
          <w:sz w:val="26"/>
          <w:szCs w:val="26"/>
        </w:rPr>
        <w:t>роведения</w:t>
      </w:r>
      <w:proofErr w:type="spellEnd"/>
      <w:r w:rsidRPr="00B33C0B">
        <w:rPr>
          <w:rFonts w:ascii="Arial" w:hAnsi="Arial" w:cs="Arial"/>
          <w:sz w:val="26"/>
          <w:szCs w:val="26"/>
        </w:rPr>
        <w:t xml:space="preserve"> назрела в 2017 году, когда в регионе стала стремительно развиваться автоматизация системы организации закупок, был полностью исключен бумажный документооборот. Качество подготовки заявок на закупку, своевременность их направления в уполномоченный орган, умение работать в региональной информационной системе – это те характеристики, которые </w:t>
      </w:r>
      <w:r w:rsidRPr="00B33C0B">
        <w:rPr>
          <w:rFonts w:ascii="Arial" w:hAnsi="Arial" w:cs="Arial"/>
          <w:sz w:val="26"/>
          <w:szCs w:val="26"/>
        </w:rPr>
        <w:lastRenderedPageBreak/>
        <w:t>позволяют своевременно, без сбоев и нарушений, в плановом режиме осуществить процедуру закупки. Именно эти показатели и вошли в основу Оценки уровня профессионализма специалистов контрактных служб заказчиков. Проведение такой оценки полностью оправдало себя, значительно повысив уровень личной ответственности специалистов, занятых в сфере закупок.</w:t>
      </w:r>
    </w:p>
    <w:p w:rsidR="00ED17E9" w:rsidRDefault="00ED17E9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Default="00704602" w:rsidP="00ED17E9">
      <w:pPr>
        <w:pStyle w:val="ConsPlusNormal"/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 </w:t>
      </w:r>
      <w:r w:rsidRPr="00704602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1C034861" wp14:editId="40AD2565">
            <wp:extent cx="6437376" cy="3829685"/>
            <wp:effectExtent l="38100" t="57150" r="40005" b="565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33C0B" w:rsidRPr="00704602" w:rsidRDefault="00B33C0B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B33C0B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B33C0B">
        <w:rPr>
          <w:rFonts w:asciiTheme="minorHAnsi" w:eastAsiaTheme="minorHAnsi" w:hAnsiTheme="minorHAnsi" w:cstheme="minorBidi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4A1B1" wp14:editId="3839FCD9">
                <wp:simplePos x="0" y="0"/>
                <wp:positionH relativeFrom="column">
                  <wp:posOffset>76479</wp:posOffset>
                </wp:positionH>
                <wp:positionV relativeFrom="paragraph">
                  <wp:posOffset>4318</wp:posOffset>
                </wp:positionV>
                <wp:extent cx="6480887" cy="4708525"/>
                <wp:effectExtent l="38100" t="57150" r="53340" b="53975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887" cy="4708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effectLst>
                          <a:softEdge rad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B33C0B" w:rsidRPr="00B33C0B" w:rsidRDefault="00B33C0B" w:rsidP="00B33C0B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B33C0B">
                              <w:rPr>
                                <w:rFonts w:asciiTheme="minorHAnsi" w:hAnsi="Calibri" w:cstheme="minorBidi"/>
                                <w:color w:val="960000"/>
                                <w:kern w:val="24"/>
                                <w:sz w:val="30"/>
                                <w:szCs w:val="3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Оценка уровня профессионализма контрактных служб:</w:t>
                            </w:r>
                          </w:p>
                          <w:p w:rsidR="00B33C0B" w:rsidRPr="00B33C0B" w:rsidRDefault="00B33C0B" w:rsidP="00B33C0B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/>
                                <w:sz w:val="30"/>
                                <w:szCs w:val="30"/>
                              </w:rPr>
                            </w:pPr>
                            <w:r w:rsidRPr="00B33C0B">
                              <w:rPr>
                                <w:rFonts w:hAnsi="Calibri"/>
                                <w:i/>
                                <w:iCs/>
                                <w:color w:val="003296"/>
                                <w:kern w:val="24"/>
                                <w:sz w:val="30"/>
                                <w:szCs w:val="30"/>
                              </w:rPr>
                              <w:t>Качество подготовки заявок заказчиками;</w:t>
                            </w:r>
                          </w:p>
                          <w:p w:rsidR="00B33C0B" w:rsidRPr="00B33C0B" w:rsidRDefault="00B33C0B" w:rsidP="00B33C0B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/>
                                <w:sz w:val="30"/>
                                <w:szCs w:val="30"/>
                              </w:rPr>
                            </w:pPr>
                            <w:r w:rsidRPr="00B33C0B">
                              <w:rPr>
                                <w:rFonts w:hAnsi="Calibri"/>
                                <w:i/>
                                <w:iCs/>
                                <w:color w:val="003296"/>
                                <w:kern w:val="24"/>
                                <w:sz w:val="30"/>
                                <w:szCs w:val="30"/>
                              </w:rPr>
                              <w:t>Нарушение сроков при направлении заявок;</w:t>
                            </w:r>
                          </w:p>
                          <w:p w:rsidR="00B33C0B" w:rsidRPr="00B33C0B" w:rsidRDefault="00B33C0B" w:rsidP="00B33C0B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eastAsia="Times New Roman"/>
                                <w:sz w:val="30"/>
                                <w:szCs w:val="30"/>
                              </w:rPr>
                            </w:pPr>
                            <w:r w:rsidRPr="00B33C0B">
                              <w:rPr>
                                <w:rFonts w:hAnsi="Calibri"/>
                                <w:i/>
                                <w:iCs/>
                                <w:color w:val="003296"/>
                                <w:kern w:val="24"/>
                                <w:sz w:val="30"/>
                                <w:szCs w:val="30"/>
                              </w:rPr>
                              <w:t>Качество работы в региональной автоматизированной системе.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14A1B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pt;margin-top:.35pt;width:510.3pt;height:37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" fillcolor="#b8cce4 [1300]" stroked="f">
                <v:textbox style="mso-fit-shape-to-text:t">
                  <w:txbxContent>
                    <w:p w:rsidR="00B33C0B" w:rsidRPr="00B33C0B" w:rsidRDefault="00B33C0B" w:rsidP="00B33C0B">
                      <w:pPr>
                        <w:pStyle w:val="ab"/>
                        <w:spacing w:before="0" w:beforeAutospacing="0" w:after="0" w:afterAutospacing="0"/>
                        <w:jc w:val="center"/>
                        <w:rPr>
                          <w:sz w:val="30"/>
                          <w:szCs w:val="30"/>
                        </w:rPr>
                      </w:pPr>
                      <w:r w:rsidRPr="00B33C0B">
                        <w:rPr>
                          <w:rFonts w:asciiTheme="minorHAnsi" w:hAnsi="Calibri" w:cstheme="minorBidi"/>
                          <w:color w:val="960000"/>
                          <w:kern w:val="24"/>
                          <w:sz w:val="30"/>
                          <w:szCs w:val="3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Оценка уровня профессионализма контрактных служб:</w:t>
                      </w:r>
                    </w:p>
                    <w:p w:rsidR="00B33C0B" w:rsidRPr="00B33C0B" w:rsidRDefault="00B33C0B" w:rsidP="00B33C0B">
                      <w:pPr>
                        <w:pStyle w:val="a3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/>
                          <w:sz w:val="30"/>
                          <w:szCs w:val="30"/>
                        </w:rPr>
                      </w:pPr>
                      <w:r w:rsidRPr="00B33C0B">
                        <w:rPr>
                          <w:rFonts w:hAnsi="Calibri"/>
                          <w:i/>
                          <w:iCs/>
                          <w:color w:val="003296"/>
                          <w:kern w:val="24"/>
                          <w:sz w:val="30"/>
                          <w:szCs w:val="30"/>
                        </w:rPr>
                        <w:t>Качество подготовки заявок заказчиками;</w:t>
                      </w:r>
                    </w:p>
                    <w:p w:rsidR="00B33C0B" w:rsidRPr="00B33C0B" w:rsidRDefault="00B33C0B" w:rsidP="00B33C0B">
                      <w:pPr>
                        <w:pStyle w:val="a3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/>
                          <w:sz w:val="30"/>
                          <w:szCs w:val="30"/>
                        </w:rPr>
                      </w:pPr>
                      <w:r w:rsidRPr="00B33C0B">
                        <w:rPr>
                          <w:rFonts w:hAnsi="Calibri"/>
                          <w:i/>
                          <w:iCs/>
                          <w:color w:val="003296"/>
                          <w:kern w:val="24"/>
                          <w:sz w:val="30"/>
                          <w:szCs w:val="30"/>
                        </w:rPr>
                        <w:t>Нарушение сроков при направлении заявок;</w:t>
                      </w:r>
                    </w:p>
                    <w:p w:rsidR="00B33C0B" w:rsidRPr="00B33C0B" w:rsidRDefault="00B33C0B" w:rsidP="00B33C0B">
                      <w:pPr>
                        <w:pStyle w:val="a3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eastAsia="Times New Roman"/>
                          <w:sz w:val="30"/>
                          <w:szCs w:val="30"/>
                        </w:rPr>
                      </w:pPr>
                      <w:r w:rsidRPr="00B33C0B">
                        <w:rPr>
                          <w:rFonts w:hAnsi="Calibri"/>
                          <w:i/>
                          <w:iCs/>
                          <w:color w:val="003296"/>
                          <w:kern w:val="24"/>
                          <w:sz w:val="30"/>
                          <w:szCs w:val="30"/>
                        </w:rPr>
                        <w:t>Качество работы в региональной автоматизированной системе.</w:t>
                      </w:r>
                    </w:p>
                  </w:txbxContent>
                </v:textbox>
              </v:shape>
            </w:pict>
          </mc:Fallback>
        </mc:AlternateContent>
      </w: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Pr="00704602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000F68" w:rsidRDefault="00000F68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9523C5" w:rsidRPr="00704602" w:rsidRDefault="009523C5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9133E0" w:rsidRPr="00704602" w:rsidRDefault="009133E0" w:rsidP="00ED17E9">
      <w:pPr>
        <w:spacing w:after="0"/>
        <w:ind w:firstLine="567"/>
        <w:rPr>
          <w:rFonts w:ascii="Arial" w:hAnsi="Arial" w:cs="Arial"/>
          <w:sz w:val="26"/>
          <w:szCs w:val="26"/>
        </w:rPr>
      </w:pPr>
    </w:p>
    <w:p w:rsidR="003563FB" w:rsidRPr="00704602" w:rsidRDefault="003563FB" w:rsidP="00ED17E9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704602">
        <w:rPr>
          <w:rFonts w:ascii="Arial" w:hAnsi="Arial" w:cs="Arial"/>
          <w:b/>
          <w:sz w:val="26"/>
          <w:szCs w:val="26"/>
        </w:rPr>
        <w:lastRenderedPageBreak/>
        <w:t>Методика оценки эфф</w:t>
      </w:r>
      <w:r w:rsidR="00060038">
        <w:rPr>
          <w:rFonts w:ascii="Arial" w:hAnsi="Arial" w:cs="Arial"/>
          <w:b/>
          <w:sz w:val="26"/>
          <w:szCs w:val="26"/>
        </w:rPr>
        <w:t>е</w:t>
      </w:r>
      <w:r w:rsidRPr="00704602">
        <w:rPr>
          <w:rFonts w:ascii="Arial" w:hAnsi="Arial" w:cs="Arial"/>
          <w:b/>
          <w:sz w:val="26"/>
          <w:szCs w:val="26"/>
        </w:rPr>
        <w:t>ктивности закупок</w:t>
      </w:r>
    </w:p>
    <w:p w:rsidR="003563FB" w:rsidRPr="00704602" w:rsidRDefault="003563FB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EE5B61" w:rsidRPr="00704602" w:rsidRDefault="00B50022" w:rsidP="00ED17E9">
      <w:pPr>
        <w:spacing w:after="0"/>
        <w:ind w:firstLine="72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В соответствии с </w:t>
      </w:r>
      <w:r w:rsidR="00D87C3C" w:rsidRPr="00704602">
        <w:rPr>
          <w:rFonts w:ascii="Arial" w:hAnsi="Arial" w:cs="Arial"/>
          <w:bCs/>
          <w:sz w:val="26"/>
          <w:szCs w:val="26"/>
        </w:rPr>
        <w:t>Методик</w:t>
      </w:r>
      <w:r>
        <w:rPr>
          <w:rFonts w:ascii="Arial" w:hAnsi="Arial" w:cs="Arial"/>
          <w:bCs/>
          <w:sz w:val="26"/>
          <w:szCs w:val="26"/>
        </w:rPr>
        <w:t>ой</w:t>
      </w:r>
      <w:r w:rsidR="00D87C3C" w:rsidRPr="00704602">
        <w:rPr>
          <w:rFonts w:ascii="Arial" w:hAnsi="Arial" w:cs="Arial"/>
          <w:bCs/>
          <w:sz w:val="26"/>
          <w:szCs w:val="26"/>
        </w:rPr>
        <w:t xml:space="preserve"> </w:t>
      </w:r>
      <w:r w:rsidR="00AB4363" w:rsidRPr="00704602">
        <w:rPr>
          <w:rFonts w:ascii="Arial" w:hAnsi="Arial" w:cs="Arial"/>
          <w:sz w:val="26"/>
          <w:szCs w:val="26"/>
        </w:rPr>
        <w:t xml:space="preserve">оценки эффективности закупок </w:t>
      </w:r>
      <w:r w:rsidR="00D87C3C" w:rsidRPr="00704602">
        <w:rPr>
          <w:rFonts w:ascii="Arial" w:hAnsi="Arial" w:cs="Arial"/>
          <w:bCs/>
          <w:sz w:val="26"/>
          <w:szCs w:val="26"/>
        </w:rPr>
        <w:t>субъект</w:t>
      </w:r>
      <w:r w:rsidR="00E1421A" w:rsidRPr="00704602">
        <w:rPr>
          <w:rFonts w:ascii="Arial" w:hAnsi="Arial" w:cs="Arial"/>
          <w:bCs/>
          <w:sz w:val="26"/>
          <w:szCs w:val="26"/>
        </w:rPr>
        <w:t>ами</w:t>
      </w:r>
      <w:r w:rsidR="00D87C3C" w:rsidRPr="00704602">
        <w:rPr>
          <w:rFonts w:ascii="Arial" w:hAnsi="Arial" w:cs="Arial"/>
          <w:bCs/>
          <w:sz w:val="26"/>
          <w:szCs w:val="26"/>
        </w:rPr>
        <w:t xml:space="preserve"> закупок</w:t>
      </w:r>
      <w:r w:rsidR="00E1421A" w:rsidRPr="00704602">
        <w:rPr>
          <w:rFonts w:ascii="Arial" w:hAnsi="Arial" w:cs="Arial"/>
          <w:bCs/>
          <w:sz w:val="26"/>
          <w:szCs w:val="26"/>
        </w:rPr>
        <w:t xml:space="preserve"> являются</w:t>
      </w:r>
      <w:r w:rsidR="000402C8" w:rsidRPr="00704602">
        <w:rPr>
          <w:rFonts w:ascii="Arial" w:hAnsi="Arial" w:cs="Arial"/>
          <w:bCs/>
          <w:sz w:val="26"/>
          <w:szCs w:val="26"/>
        </w:rPr>
        <w:t xml:space="preserve"> заказчики, </w:t>
      </w:r>
      <w:r w:rsidR="000402C8" w:rsidRPr="00704602">
        <w:rPr>
          <w:rFonts w:ascii="Arial" w:hAnsi="Arial" w:cs="Arial"/>
          <w:sz w:val="26"/>
          <w:szCs w:val="26"/>
        </w:rPr>
        <w:t>осуществляющие закупки по 44-ФЗ</w:t>
      </w:r>
      <w:r w:rsidR="00EE5B61" w:rsidRPr="00704602">
        <w:rPr>
          <w:rFonts w:ascii="Arial" w:hAnsi="Arial" w:cs="Arial"/>
          <w:bCs/>
          <w:sz w:val="26"/>
          <w:szCs w:val="26"/>
        </w:rPr>
        <w:t>:</w:t>
      </w:r>
    </w:p>
    <w:p w:rsidR="00AB4363" w:rsidRPr="00704602" w:rsidRDefault="00EE5B61" w:rsidP="00ED17E9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bCs/>
          <w:sz w:val="26"/>
          <w:szCs w:val="26"/>
        </w:rPr>
        <w:t>-</w:t>
      </w:r>
      <w:r w:rsidR="00E1421A" w:rsidRPr="00704602">
        <w:rPr>
          <w:rFonts w:ascii="Arial" w:hAnsi="Arial" w:cs="Arial"/>
          <w:bCs/>
          <w:sz w:val="26"/>
          <w:szCs w:val="26"/>
        </w:rPr>
        <w:t xml:space="preserve"> </w:t>
      </w:r>
      <w:r w:rsidR="00D87C3C" w:rsidRPr="00704602">
        <w:rPr>
          <w:rFonts w:ascii="Arial" w:hAnsi="Arial" w:cs="Arial"/>
          <w:sz w:val="26"/>
          <w:szCs w:val="26"/>
        </w:rPr>
        <w:t>государств</w:t>
      </w:r>
      <w:r w:rsidRPr="00704602">
        <w:rPr>
          <w:rFonts w:ascii="Arial" w:hAnsi="Arial" w:cs="Arial"/>
          <w:sz w:val="26"/>
          <w:szCs w:val="26"/>
        </w:rPr>
        <w:t xml:space="preserve">енные </w:t>
      </w:r>
      <w:r w:rsidR="00AB4363" w:rsidRPr="00704602">
        <w:rPr>
          <w:rFonts w:ascii="Arial" w:hAnsi="Arial" w:cs="Arial"/>
          <w:sz w:val="26"/>
          <w:szCs w:val="26"/>
        </w:rPr>
        <w:t>заказчики;</w:t>
      </w:r>
    </w:p>
    <w:p w:rsidR="00EE5B61" w:rsidRPr="00704602" w:rsidRDefault="00AB4363" w:rsidP="00ED17E9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- </w:t>
      </w:r>
      <w:r w:rsidR="00EE5B61" w:rsidRPr="00704602">
        <w:rPr>
          <w:rFonts w:ascii="Arial" w:hAnsi="Arial" w:cs="Arial"/>
          <w:sz w:val="26"/>
          <w:szCs w:val="26"/>
        </w:rPr>
        <w:t>муниципальные заказчики;</w:t>
      </w:r>
    </w:p>
    <w:p w:rsidR="00A567AD" w:rsidRPr="00704602" w:rsidRDefault="00EE5B61" w:rsidP="00ED17E9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-</w:t>
      </w:r>
      <w:r w:rsidR="00D87C3C" w:rsidRPr="00704602">
        <w:rPr>
          <w:rFonts w:ascii="Arial" w:hAnsi="Arial" w:cs="Arial"/>
          <w:sz w:val="26"/>
          <w:szCs w:val="26"/>
        </w:rPr>
        <w:t xml:space="preserve"> бюджетные учреждения</w:t>
      </w:r>
      <w:r w:rsidR="000D26E2">
        <w:rPr>
          <w:rFonts w:ascii="Arial" w:hAnsi="Arial" w:cs="Arial"/>
          <w:sz w:val="26"/>
          <w:szCs w:val="26"/>
        </w:rPr>
        <w:t>.</w:t>
      </w:r>
    </w:p>
    <w:p w:rsidR="00A02C83" w:rsidRPr="00704602" w:rsidRDefault="00A02C83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0F3FA0" w:rsidRPr="00704602" w:rsidRDefault="00C376D3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>Порядок проведения оценки:</w:t>
      </w:r>
    </w:p>
    <w:p w:rsidR="00A567AD" w:rsidRPr="00704602" w:rsidRDefault="00C376D3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1. </w:t>
      </w:r>
      <w:r w:rsidR="00D87C3C" w:rsidRPr="00704602">
        <w:rPr>
          <w:rFonts w:ascii="Arial" w:hAnsi="Arial" w:cs="Arial"/>
          <w:sz w:val="26"/>
          <w:szCs w:val="26"/>
        </w:rPr>
        <w:t xml:space="preserve">Оценка эффективности закупок осуществляется по каждому </w:t>
      </w:r>
      <w:r w:rsidR="000F3FA0" w:rsidRPr="00704602">
        <w:rPr>
          <w:rFonts w:ascii="Arial" w:hAnsi="Arial" w:cs="Arial"/>
          <w:sz w:val="26"/>
          <w:szCs w:val="26"/>
        </w:rPr>
        <w:t>заказчику</w:t>
      </w:r>
      <w:r w:rsidR="00D87C3C" w:rsidRPr="00704602">
        <w:rPr>
          <w:rFonts w:ascii="Arial" w:hAnsi="Arial" w:cs="Arial"/>
          <w:sz w:val="26"/>
          <w:szCs w:val="26"/>
        </w:rPr>
        <w:t xml:space="preserve"> по каждому показателю</w:t>
      </w:r>
      <w:r w:rsidRPr="00704602">
        <w:rPr>
          <w:rFonts w:ascii="Arial" w:hAnsi="Arial" w:cs="Arial"/>
          <w:sz w:val="26"/>
          <w:szCs w:val="26"/>
        </w:rPr>
        <w:t>.</w:t>
      </w:r>
    </w:p>
    <w:p w:rsidR="00C376D3" w:rsidRPr="00704602" w:rsidRDefault="00C376D3" w:rsidP="00ED17E9">
      <w:pPr>
        <w:spacing w:after="0"/>
        <w:ind w:firstLine="567"/>
        <w:jc w:val="both"/>
        <w:rPr>
          <w:rFonts w:ascii="Arial" w:eastAsia="Times New Roman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2. </w:t>
      </w:r>
      <w:r w:rsidRPr="00704602">
        <w:rPr>
          <w:rFonts w:ascii="Arial" w:eastAsia="Times New Roman" w:hAnsi="Arial" w:cs="Arial"/>
          <w:sz w:val="26"/>
          <w:szCs w:val="26"/>
        </w:rPr>
        <w:t>Комплексная оценка осуществляется нарастающим итогом с начала года.</w:t>
      </w:r>
    </w:p>
    <w:p w:rsidR="00ED17E9" w:rsidRDefault="00C376D3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704602">
        <w:rPr>
          <w:rFonts w:ascii="Arial" w:hAnsi="Arial" w:cs="Arial"/>
          <w:sz w:val="26"/>
          <w:szCs w:val="26"/>
        </w:rPr>
        <w:t xml:space="preserve">3. </w:t>
      </w:r>
      <w:r w:rsidR="000D26E2" w:rsidRPr="000D26E2">
        <w:rPr>
          <w:rFonts w:ascii="Arial" w:hAnsi="Arial" w:cs="Arial"/>
          <w:sz w:val="26"/>
          <w:szCs w:val="26"/>
        </w:rPr>
        <w:t>Оценка эффективности осуществления закупок по итогам отчетного периода основывается на определении совокупного показателя, который рассчитывается как сумма значений каждого из анализируемых показателей с использованием расчетно-баллового метода</w:t>
      </w:r>
      <w:r w:rsidR="000D26E2">
        <w:rPr>
          <w:rFonts w:ascii="Arial" w:hAnsi="Arial" w:cs="Arial"/>
          <w:sz w:val="26"/>
          <w:szCs w:val="26"/>
        </w:rPr>
        <w:t xml:space="preserve">. </w:t>
      </w:r>
      <w:r w:rsidR="00ED17E9">
        <w:rPr>
          <w:rFonts w:ascii="Arial" w:hAnsi="Arial" w:cs="Arial"/>
          <w:sz w:val="26"/>
          <w:szCs w:val="26"/>
        </w:rPr>
        <w:t>Дополнительно определяется оценка эффективности по каждому из критериев. Результаты распределяются по следующим группам:</w:t>
      </w:r>
    </w:p>
    <w:p w:rsidR="00ED17E9" w:rsidRDefault="00ED17E9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 Эффективные закупки</w:t>
      </w:r>
    </w:p>
    <w:p w:rsidR="00ED17E9" w:rsidRDefault="00ED17E9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</w:t>
      </w:r>
      <w:r w:rsidR="000D26E2" w:rsidRPr="000D26E2">
        <w:rPr>
          <w:rFonts w:ascii="Arial" w:hAnsi="Arial" w:cs="Arial"/>
          <w:sz w:val="26"/>
          <w:szCs w:val="26"/>
        </w:rPr>
        <w:t>Умеренн</w:t>
      </w:r>
      <w:r>
        <w:rPr>
          <w:rFonts w:ascii="Arial" w:hAnsi="Arial" w:cs="Arial"/>
          <w:sz w:val="26"/>
          <w:szCs w:val="26"/>
        </w:rPr>
        <w:t>ая</w:t>
      </w:r>
      <w:r w:rsidR="000D26E2" w:rsidRPr="000D26E2">
        <w:rPr>
          <w:rFonts w:ascii="Arial" w:hAnsi="Arial" w:cs="Arial"/>
          <w:sz w:val="26"/>
          <w:szCs w:val="26"/>
        </w:rPr>
        <w:t xml:space="preserve"> эффективн</w:t>
      </w:r>
      <w:r>
        <w:rPr>
          <w:rFonts w:ascii="Arial" w:hAnsi="Arial" w:cs="Arial"/>
          <w:sz w:val="26"/>
          <w:szCs w:val="26"/>
        </w:rPr>
        <w:t>ость закупок</w:t>
      </w:r>
    </w:p>
    <w:p w:rsidR="00ED17E9" w:rsidRDefault="00ED17E9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r w:rsidR="000D26E2" w:rsidRPr="000D26E2">
        <w:rPr>
          <w:rFonts w:ascii="Arial" w:hAnsi="Arial" w:cs="Arial"/>
          <w:sz w:val="26"/>
          <w:szCs w:val="26"/>
        </w:rPr>
        <w:t>Н</w:t>
      </w:r>
      <w:r>
        <w:rPr>
          <w:rFonts w:ascii="Arial" w:hAnsi="Arial" w:cs="Arial"/>
          <w:sz w:val="26"/>
          <w:szCs w:val="26"/>
        </w:rPr>
        <w:t>еэффективные закупки;</w:t>
      </w:r>
    </w:p>
    <w:p w:rsidR="00A567AD" w:rsidRDefault="00ED17E9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</w:t>
      </w:r>
      <w:r w:rsidR="000D26E2" w:rsidRPr="000D26E2">
        <w:rPr>
          <w:rFonts w:ascii="Arial" w:hAnsi="Arial" w:cs="Arial"/>
          <w:sz w:val="26"/>
          <w:szCs w:val="26"/>
        </w:rPr>
        <w:t>Неудовлетворительная</w:t>
      </w:r>
      <w:r>
        <w:rPr>
          <w:rFonts w:ascii="Arial" w:hAnsi="Arial" w:cs="Arial"/>
          <w:sz w:val="26"/>
          <w:szCs w:val="26"/>
        </w:rPr>
        <w:t xml:space="preserve"> эффективность закупок.</w:t>
      </w:r>
    </w:p>
    <w:p w:rsidR="007742AB" w:rsidRDefault="007742AB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7742AB" w:rsidRPr="00704602" w:rsidRDefault="007742AB" w:rsidP="00ED17E9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7742AB" w:rsidRPr="007742AB" w:rsidRDefault="007742AB" w:rsidP="007742AB">
      <w:pPr>
        <w:spacing w:after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742AB">
        <w:rPr>
          <w:rFonts w:ascii="Arial" w:hAnsi="Arial" w:cs="Arial"/>
          <w:bCs/>
          <w:sz w:val="26"/>
          <w:szCs w:val="26"/>
        </w:rPr>
        <w:t xml:space="preserve">В Тюменской области проведение </w:t>
      </w:r>
      <w:r w:rsidR="009523C5">
        <w:rPr>
          <w:rFonts w:ascii="Arial" w:hAnsi="Arial" w:cs="Arial"/>
          <w:bCs/>
          <w:sz w:val="26"/>
          <w:szCs w:val="26"/>
        </w:rPr>
        <w:t>Оценки</w:t>
      </w:r>
      <w:r w:rsidRPr="007742AB">
        <w:rPr>
          <w:rFonts w:ascii="Arial" w:hAnsi="Arial" w:cs="Arial"/>
          <w:bCs/>
          <w:sz w:val="26"/>
          <w:szCs w:val="26"/>
        </w:rPr>
        <w:t xml:space="preserve"> эффективности закупок носит многоуровневый характер.</w:t>
      </w:r>
    </w:p>
    <w:p w:rsidR="007742AB" w:rsidRPr="007742AB" w:rsidRDefault="007742AB" w:rsidP="007742AB">
      <w:pPr>
        <w:spacing w:after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742AB">
        <w:rPr>
          <w:rFonts w:ascii="Arial" w:hAnsi="Arial" w:cs="Arial"/>
          <w:bCs/>
          <w:sz w:val="26"/>
          <w:szCs w:val="26"/>
        </w:rPr>
        <w:t xml:space="preserve">Не реже 1 раза в месяц </w:t>
      </w:r>
      <w:r w:rsidR="009523C5">
        <w:rPr>
          <w:rFonts w:ascii="Arial" w:hAnsi="Arial" w:cs="Arial"/>
          <w:bCs/>
          <w:sz w:val="26"/>
          <w:szCs w:val="26"/>
        </w:rPr>
        <w:t>Оценка</w:t>
      </w:r>
      <w:r w:rsidRPr="007742AB">
        <w:rPr>
          <w:rFonts w:ascii="Arial" w:hAnsi="Arial" w:cs="Arial"/>
          <w:bCs/>
          <w:sz w:val="26"/>
          <w:szCs w:val="26"/>
        </w:rPr>
        <w:t xml:space="preserve"> проводится на основании данных региональной информационной системы. В результате выявляются резервы для повышения эффективности, вырабатываются рекомендации, методические материалы, проводятся рабочие совещания, обучающие мероприятия и пр.</w:t>
      </w:r>
    </w:p>
    <w:p w:rsidR="007742AB" w:rsidRPr="007742AB" w:rsidRDefault="007742AB" w:rsidP="007742AB">
      <w:pPr>
        <w:spacing w:after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742AB">
        <w:rPr>
          <w:rFonts w:ascii="Arial" w:hAnsi="Arial" w:cs="Arial"/>
          <w:bCs/>
          <w:sz w:val="26"/>
          <w:szCs w:val="26"/>
        </w:rPr>
        <w:t>По итогам квартала достигнутые значения показателей эффективности доводятся до сведения специалистов контрактных служб, с целью принятия ими соответствующих шагов по повышению эффективности.</w:t>
      </w:r>
    </w:p>
    <w:p w:rsidR="007742AB" w:rsidRPr="007742AB" w:rsidRDefault="007742AB" w:rsidP="007742AB">
      <w:pPr>
        <w:spacing w:after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742AB">
        <w:rPr>
          <w:rFonts w:ascii="Arial" w:hAnsi="Arial" w:cs="Arial"/>
          <w:bCs/>
          <w:sz w:val="26"/>
          <w:szCs w:val="26"/>
        </w:rPr>
        <w:t>Раз в полугодие Уполномоченным органом осуществляется информирование руководителей государственных и муниципальных</w:t>
      </w:r>
      <w:bookmarkStart w:id="0" w:name="_GoBack"/>
      <w:bookmarkEnd w:id="0"/>
      <w:r w:rsidRPr="007742AB">
        <w:rPr>
          <w:rFonts w:ascii="Arial" w:hAnsi="Arial" w:cs="Arial"/>
          <w:bCs/>
          <w:sz w:val="26"/>
          <w:szCs w:val="26"/>
        </w:rPr>
        <w:t xml:space="preserve"> заказчиков о достигнутых значениях показателей с направлением рекомендаций по их оптимизации.</w:t>
      </w:r>
    </w:p>
    <w:p w:rsidR="00A567AD" w:rsidRPr="007742AB" w:rsidRDefault="007742AB" w:rsidP="007742AB">
      <w:pPr>
        <w:spacing w:after="0"/>
        <w:ind w:firstLine="720"/>
        <w:jc w:val="both"/>
        <w:rPr>
          <w:rFonts w:ascii="Arial" w:hAnsi="Arial" w:cs="Arial"/>
          <w:bCs/>
          <w:sz w:val="26"/>
          <w:szCs w:val="26"/>
        </w:rPr>
      </w:pPr>
      <w:r w:rsidRPr="007742AB">
        <w:rPr>
          <w:rFonts w:ascii="Arial" w:hAnsi="Arial" w:cs="Arial"/>
          <w:bCs/>
          <w:sz w:val="26"/>
          <w:szCs w:val="26"/>
        </w:rPr>
        <w:t>По итогам года Губернатору Тюменской области направляются предложения о поощрении государственных заказчиков, глав муниципальных образований и городских округов Тюменской области, достигших наивысших показателей эффективности закупок.</w:t>
      </w:r>
    </w:p>
    <w:p w:rsidR="000F3FA0" w:rsidRPr="00704602" w:rsidRDefault="000F3FA0" w:rsidP="00ED17E9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</w:p>
    <w:p w:rsidR="00ED17E9" w:rsidRPr="00F220E3" w:rsidRDefault="00ED17E9" w:rsidP="00F220E3">
      <w:pPr>
        <w:pStyle w:val="a3"/>
        <w:numPr>
          <w:ilvl w:val="0"/>
          <w:numId w:val="5"/>
        </w:numPr>
        <w:jc w:val="center"/>
        <w:rPr>
          <w:rFonts w:ascii="Arial" w:hAnsi="Arial" w:cs="Arial"/>
          <w:b/>
          <w:sz w:val="26"/>
          <w:szCs w:val="26"/>
        </w:rPr>
      </w:pPr>
      <w:r w:rsidRPr="00F220E3">
        <w:rPr>
          <w:rFonts w:ascii="Arial" w:hAnsi="Arial" w:cs="Arial"/>
          <w:b/>
          <w:sz w:val="26"/>
          <w:szCs w:val="26"/>
        </w:rPr>
        <w:br w:type="page"/>
      </w:r>
      <w:r w:rsidRPr="00F220E3">
        <w:rPr>
          <w:rFonts w:ascii="Arial" w:hAnsi="Arial" w:cs="Arial"/>
          <w:b/>
          <w:sz w:val="26"/>
          <w:szCs w:val="26"/>
        </w:rPr>
        <w:lastRenderedPageBreak/>
        <w:t xml:space="preserve">Критерий </w:t>
      </w:r>
      <w:proofErr w:type="spellStart"/>
      <w:r w:rsidRPr="00F220E3">
        <w:rPr>
          <w:rFonts w:ascii="Arial" w:hAnsi="Arial" w:cs="Arial"/>
          <w:b/>
          <w:sz w:val="26"/>
          <w:szCs w:val="26"/>
        </w:rPr>
        <w:t>конкурентности</w:t>
      </w:r>
      <w:proofErr w:type="spellEnd"/>
      <w:r w:rsidRPr="00F220E3">
        <w:rPr>
          <w:rFonts w:ascii="Arial" w:hAnsi="Arial" w:cs="Arial"/>
          <w:b/>
          <w:sz w:val="26"/>
          <w:szCs w:val="26"/>
        </w:rPr>
        <w:t xml:space="preserve"> закупок</w:t>
      </w:r>
    </w:p>
    <w:p w:rsidR="00ED17E9" w:rsidRDefault="00ED17E9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ED17E9">
        <w:rPr>
          <w:rFonts w:ascii="Arial" w:hAnsi="Arial" w:cs="Arial"/>
          <w:sz w:val="26"/>
          <w:szCs w:val="26"/>
        </w:rPr>
        <w:t xml:space="preserve">Критерий </w:t>
      </w:r>
      <w:proofErr w:type="spellStart"/>
      <w:r w:rsidRPr="00ED17E9">
        <w:rPr>
          <w:rFonts w:ascii="Arial" w:hAnsi="Arial" w:cs="Arial"/>
          <w:sz w:val="26"/>
          <w:szCs w:val="26"/>
        </w:rPr>
        <w:t>конкурентности</w:t>
      </w:r>
      <w:proofErr w:type="spellEnd"/>
      <w:r w:rsidRPr="00ED17E9">
        <w:rPr>
          <w:rFonts w:ascii="Arial" w:hAnsi="Arial" w:cs="Arial"/>
          <w:sz w:val="26"/>
          <w:szCs w:val="26"/>
        </w:rPr>
        <w:t xml:space="preserve"> отражает уровень конкуренции в закупках региональных и муниципальных заказчиков. Критерий состоит из 7 показателей. Максимальное количество </w:t>
      </w:r>
      <w:r>
        <w:rPr>
          <w:rFonts w:ascii="Arial" w:hAnsi="Arial" w:cs="Arial"/>
          <w:sz w:val="26"/>
          <w:szCs w:val="26"/>
        </w:rPr>
        <w:t>присвоенных баллов в результате</w:t>
      </w:r>
      <w:r w:rsidRPr="00ED17E9">
        <w:rPr>
          <w:rFonts w:ascii="Arial" w:hAnsi="Arial" w:cs="Arial"/>
          <w:sz w:val="26"/>
          <w:szCs w:val="26"/>
        </w:rPr>
        <w:t xml:space="preserve"> оценки - 21. Отнесение закупки к тому или иному отчетному периоду производится по дате завершающего протокола.</w:t>
      </w:r>
      <w:r>
        <w:rPr>
          <w:rFonts w:ascii="Arial" w:hAnsi="Arial" w:cs="Arial"/>
          <w:sz w:val="26"/>
          <w:szCs w:val="26"/>
        </w:rPr>
        <w:t xml:space="preserve"> </w:t>
      </w:r>
    </w:p>
    <w:p w:rsidR="00ED17E9" w:rsidRDefault="00ED17E9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К1.1 - Удельный вес соответствующих конкурентных закупок в общем объеме закупок</w:t>
      </w: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К1.2 - Доля несостоявшихся закупок и закупок у "единственного поставщика (подрядчика исполнителя)" в общем объеме конкурентных закупок</w:t>
      </w: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К1.3 - Среднее количество участников закупки</w:t>
      </w: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К1.4 - Средневзвешенное количество поступивших заявок на одну закупку</w:t>
      </w: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К1.5 - Средневзвешенное количество допущенных заявок на одну закупку</w:t>
      </w: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К1.6 - Индекс одной заявки</w:t>
      </w: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ED17E9" w:rsidRPr="00EC6817" w:rsidRDefault="00ED17E9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К1.7 — Доля открытых аукционов в электронной форме в общем объеме конкурентных закупок</w:t>
      </w:r>
    </w:p>
    <w:p w:rsidR="00983680" w:rsidRDefault="00983680" w:rsidP="00ED17E9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</w:p>
    <w:p w:rsidR="00B50022" w:rsidRPr="00B50022" w:rsidRDefault="00B50022" w:rsidP="00B50022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B50022">
        <w:rPr>
          <w:rFonts w:ascii="Arial" w:hAnsi="Arial" w:cs="Arial"/>
          <w:sz w:val="26"/>
          <w:szCs w:val="26"/>
        </w:rPr>
        <w:t xml:space="preserve">Вообще, показатели </w:t>
      </w:r>
      <w:proofErr w:type="spellStart"/>
      <w:r w:rsidRPr="00B50022">
        <w:rPr>
          <w:rFonts w:ascii="Arial" w:hAnsi="Arial" w:cs="Arial"/>
          <w:sz w:val="26"/>
          <w:szCs w:val="26"/>
        </w:rPr>
        <w:t>конкурентности</w:t>
      </w:r>
      <w:proofErr w:type="spellEnd"/>
      <w:r w:rsidRPr="00B50022">
        <w:rPr>
          <w:rFonts w:ascii="Arial" w:hAnsi="Arial" w:cs="Arial"/>
          <w:sz w:val="26"/>
          <w:szCs w:val="26"/>
        </w:rPr>
        <w:t xml:space="preserve"> являются наиболее приоритетными. Они являются маркерами открытости, доступности, прозрачности закупок. С целью их оптимизации в 2017 году в Тюменской области реализовано несколько глобальных проектов. Одним из них является Автоматизации закупок малого объема. Она позволила выявить малые закупки идентичных товаров и перевести их в конкурентное поле. На сегодня объем таких закупок превысил 312 </w:t>
      </w:r>
      <w:proofErr w:type="spellStart"/>
      <w:r w:rsidRPr="00B50022">
        <w:rPr>
          <w:rFonts w:ascii="Arial" w:hAnsi="Arial" w:cs="Arial"/>
          <w:sz w:val="26"/>
          <w:szCs w:val="26"/>
        </w:rPr>
        <w:t>млн.рублей</w:t>
      </w:r>
      <w:proofErr w:type="spellEnd"/>
      <w:r w:rsidRPr="00B50022">
        <w:rPr>
          <w:rFonts w:ascii="Arial" w:hAnsi="Arial" w:cs="Arial"/>
          <w:sz w:val="26"/>
          <w:szCs w:val="26"/>
        </w:rPr>
        <w:t>.</w:t>
      </w:r>
    </w:p>
    <w:p w:rsidR="00B50022" w:rsidRPr="00B50022" w:rsidRDefault="00B50022" w:rsidP="00B50022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B50022">
        <w:rPr>
          <w:rFonts w:ascii="Arial" w:hAnsi="Arial" w:cs="Arial"/>
          <w:sz w:val="26"/>
          <w:szCs w:val="26"/>
        </w:rPr>
        <w:t>Контроль искусственного укрупнения закупок, равно как и исключение закупок с низкой НМЦК позволили повысить количество потенциальных участников закупок.</w:t>
      </w:r>
    </w:p>
    <w:p w:rsidR="00B50022" w:rsidRPr="00B50022" w:rsidRDefault="00B50022" w:rsidP="00B50022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  <w:r w:rsidRPr="00B50022">
        <w:rPr>
          <w:rFonts w:ascii="Arial" w:hAnsi="Arial" w:cs="Arial"/>
          <w:sz w:val="26"/>
          <w:szCs w:val="26"/>
        </w:rPr>
        <w:t>Часть закупок, проводимых ранее путем запроса котировок, переведены на электронные аукционы, являющиеся наиболее прозрачной и доступной процедурой. Это так же повлияло на рост количества участников на одну закупку.</w:t>
      </w:r>
    </w:p>
    <w:p w:rsidR="00B50022" w:rsidRDefault="00B50022" w:rsidP="00ED17E9">
      <w:pPr>
        <w:spacing w:after="0"/>
        <w:ind w:firstLine="720"/>
        <w:jc w:val="both"/>
        <w:rPr>
          <w:rFonts w:ascii="Arial" w:hAnsi="Arial" w:cs="Arial"/>
          <w:sz w:val="26"/>
          <w:szCs w:val="26"/>
        </w:rPr>
      </w:pPr>
    </w:p>
    <w:p w:rsidR="009818D9" w:rsidRDefault="009818D9" w:rsidP="00ED17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EC6817" w:rsidRDefault="00EC6817" w:rsidP="00ED17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EC6817" w:rsidRDefault="00EC6817" w:rsidP="00ED17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EC6817" w:rsidRDefault="00EC6817" w:rsidP="00ED17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EC6817" w:rsidRPr="00704602" w:rsidRDefault="00EC6817" w:rsidP="00ED17E9">
      <w:pPr>
        <w:spacing w:after="0"/>
        <w:jc w:val="center"/>
        <w:rPr>
          <w:rFonts w:ascii="Arial" w:hAnsi="Arial" w:cs="Arial"/>
          <w:b/>
          <w:sz w:val="26"/>
          <w:szCs w:val="26"/>
        </w:rPr>
      </w:pPr>
    </w:p>
    <w:p w:rsidR="00F21DD6" w:rsidRDefault="00F21DD6" w:rsidP="008C4D95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8C4D95">
        <w:rPr>
          <w:rFonts w:ascii="Arial" w:hAnsi="Arial" w:cs="Arial"/>
          <w:b/>
          <w:sz w:val="26"/>
          <w:szCs w:val="26"/>
        </w:rPr>
        <w:t>Критерий экономности</w:t>
      </w:r>
    </w:p>
    <w:p w:rsidR="008C4D95" w:rsidRP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8C4D95">
        <w:rPr>
          <w:rFonts w:ascii="Arial" w:hAnsi="Arial" w:cs="Arial"/>
          <w:sz w:val="26"/>
          <w:szCs w:val="26"/>
        </w:rPr>
        <w:t>Критерий состоит из 2 показателей. Максимальное количество присвоенных баллов в результате интегральной оценки - 6. Отнесение закупки к тому или иному отчетному периоду производится по дате завершающего протокола.</w:t>
      </w:r>
    </w:p>
    <w:p w:rsidR="008C4D95" w:rsidRP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Pr="00EC6817" w:rsidRDefault="008C4D95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К2.1 - Экономия, полученная по результатам закупок</w:t>
      </w:r>
    </w:p>
    <w:p w:rsidR="008C4D95" w:rsidRPr="00EC6817" w:rsidRDefault="008C4D95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8C4D95" w:rsidRPr="00EC6817" w:rsidRDefault="008C4D95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К2.2 - Доля закупок с экономией более 25%</w:t>
      </w:r>
    </w:p>
    <w:p w:rsidR="008C4D95" w:rsidRP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P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8C4D95">
        <w:rPr>
          <w:rFonts w:ascii="Arial" w:hAnsi="Arial" w:cs="Arial"/>
          <w:sz w:val="26"/>
          <w:szCs w:val="26"/>
        </w:rPr>
        <w:t xml:space="preserve">Вообще показатели уровня полученной экономии нельзя назвать в полной мере ключевыми показателями эффективности закупок. Высокий уровень экономии скорее всего будет свидетельствовать либо о завышенной НМЦК, либо о несоответствии качества поставляемых товаров (работ, услуг) заявленным характеристикам. </w:t>
      </w:r>
    </w:p>
    <w:p w:rsidR="008C4D95" w:rsidRP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8C4D95">
        <w:rPr>
          <w:rFonts w:ascii="Arial" w:hAnsi="Arial" w:cs="Arial"/>
          <w:sz w:val="26"/>
          <w:szCs w:val="26"/>
        </w:rPr>
        <w:t>В связи с указанным, при разработке Методики оценки эффективности закупок для нужд Тюменской области в Критерий экономности включили два основных показателя: «Уровень полученной экономии» с удовлетворительным значением в диапазоне от 5% до 25%, и «Доля закупок с экономией более 25%».</w:t>
      </w:r>
    </w:p>
    <w:p w:rsidR="008C4D95" w:rsidRP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8C4D95">
        <w:rPr>
          <w:rFonts w:ascii="Arial" w:hAnsi="Arial" w:cs="Arial"/>
          <w:sz w:val="26"/>
          <w:szCs w:val="26"/>
        </w:rPr>
        <w:t xml:space="preserve">Управлением государственных закупок Тюменской области как регулятором контрактной системы в регионе разработаны рекомендации по достижению оптимальных значений указанных показателей. </w:t>
      </w: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8C4D95">
        <w:rPr>
          <w:rFonts w:ascii="Arial" w:hAnsi="Arial" w:cs="Arial"/>
          <w:sz w:val="26"/>
          <w:szCs w:val="26"/>
        </w:rPr>
        <w:t xml:space="preserve">В первую очередь, речь идет о повышении качества формирования НМЦК. Сегодня заказчики активно используют цены заключенных ранее и успешно исполненных контрактов, осуществляют запрос коммерческих предложений у реальных участников закупок. В регионе создана Межведомственная комиссия, осуществляющая контроль за формированием НМЦК крупных закупок (от </w:t>
      </w:r>
      <w:r w:rsidR="009523C5">
        <w:rPr>
          <w:rFonts w:ascii="Arial" w:hAnsi="Arial" w:cs="Arial"/>
          <w:sz w:val="26"/>
          <w:szCs w:val="26"/>
        </w:rPr>
        <w:t>10</w:t>
      </w:r>
      <w:r w:rsidRPr="008C4D9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8C4D95">
        <w:rPr>
          <w:rFonts w:ascii="Arial" w:hAnsi="Arial" w:cs="Arial"/>
          <w:sz w:val="26"/>
          <w:szCs w:val="26"/>
        </w:rPr>
        <w:t>млн.рублей</w:t>
      </w:r>
      <w:proofErr w:type="spellEnd"/>
      <w:r w:rsidRPr="008C4D95">
        <w:rPr>
          <w:rFonts w:ascii="Arial" w:hAnsi="Arial" w:cs="Arial"/>
          <w:sz w:val="26"/>
          <w:szCs w:val="26"/>
        </w:rPr>
        <w:t>). Использование типовых комплектов документов для наиболее массово закупаемых товаров (работ, услуг) гарантирует соответствующее качество по реальной рыночной (</w:t>
      </w:r>
      <w:proofErr w:type="spellStart"/>
      <w:r w:rsidRPr="008C4D95">
        <w:rPr>
          <w:rFonts w:ascii="Arial" w:hAnsi="Arial" w:cs="Arial"/>
          <w:sz w:val="26"/>
          <w:szCs w:val="26"/>
        </w:rPr>
        <w:t>незаниженной</w:t>
      </w:r>
      <w:proofErr w:type="spellEnd"/>
      <w:r w:rsidRPr="008C4D95">
        <w:rPr>
          <w:rFonts w:ascii="Arial" w:hAnsi="Arial" w:cs="Arial"/>
          <w:sz w:val="26"/>
          <w:szCs w:val="26"/>
        </w:rPr>
        <w:t>) цене, исключая риски участия в закупках недобросовестных поставщиков.</w:t>
      </w: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8C4D95">
      <w:pPr>
        <w:pStyle w:val="a3"/>
        <w:numPr>
          <w:ilvl w:val="0"/>
          <w:numId w:val="5"/>
        </w:numPr>
        <w:jc w:val="center"/>
        <w:rPr>
          <w:rFonts w:ascii="Arial" w:hAnsi="Arial" w:cs="Arial"/>
          <w:b/>
          <w:sz w:val="26"/>
          <w:szCs w:val="26"/>
        </w:rPr>
      </w:pPr>
      <w:r w:rsidRPr="008C4D95">
        <w:rPr>
          <w:rFonts w:ascii="Arial" w:hAnsi="Arial" w:cs="Arial"/>
          <w:b/>
          <w:sz w:val="26"/>
          <w:szCs w:val="26"/>
        </w:rPr>
        <w:lastRenderedPageBreak/>
        <w:t>Критерий соблюдения законодательства в сфере закупок</w:t>
      </w:r>
    </w:p>
    <w:p w:rsidR="008C4D95" w:rsidRDefault="008C4D95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8C4D95">
        <w:rPr>
          <w:rFonts w:ascii="Arial" w:hAnsi="Arial" w:cs="Arial"/>
          <w:sz w:val="26"/>
          <w:szCs w:val="26"/>
        </w:rPr>
        <w:t>Критерий состоит из 4 показателей. Максимальное количество присвоенных баллов в результате интегральной оценки - 9.</w:t>
      </w:r>
      <w:r>
        <w:rPr>
          <w:rFonts w:ascii="Arial" w:hAnsi="Arial" w:cs="Arial"/>
          <w:sz w:val="26"/>
          <w:szCs w:val="26"/>
        </w:rPr>
        <w:t xml:space="preserve"> По показателю К4.4 баллы не присваиваются.</w:t>
      </w:r>
    </w:p>
    <w:p w:rsidR="00EC6817" w:rsidRDefault="00EC6817" w:rsidP="008C4D95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</w:p>
    <w:p w:rsidR="008C4D95" w:rsidRDefault="008C4D95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К3.1 - Соблюдение требований по соотношению объемов (размеров) осуществления закупок у субъектов малого предпринимательства, социально ориентированных некоммерческих организаций и совокупного годового объема закупок</w:t>
      </w:r>
    </w:p>
    <w:p w:rsidR="00EC6817" w:rsidRPr="00EC6817" w:rsidRDefault="00EC6817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8C4D95" w:rsidRDefault="008C4D95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К3.2 - Доля контрактов с субъектами малого бизнеса в общей стоимости контрактов</w:t>
      </w:r>
    </w:p>
    <w:p w:rsidR="00EC6817" w:rsidRPr="00EC6817" w:rsidRDefault="00EC6817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8C4D95" w:rsidRDefault="008C4D95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К3.3 - Показатель количества обоснованных жалоб</w:t>
      </w:r>
    </w:p>
    <w:p w:rsidR="00EC6817" w:rsidRPr="00EC6817" w:rsidRDefault="00EC6817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8C4D95" w:rsidRPr="00EC6817" w:rsidRDefault="008C4D95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К3.4 - Показатель количества частично обоснованных жалоб</w:t>
      </w:r>
    </w:p>
    <w:p w:rsidR="00E66D22" w:rsidRPr="008C4D95" w:rsidRDefault="00E66D22" w:rsidP="008C4D95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E66D22" w:rsidRPr="00E66D22" w:rsidRDefault="00E66D22" w:rsidP="00E66D22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</w:t>
      </w:r>
      <w:r w:rsidRPr="00E66D22">
        <w:rPr>
          <w:rFonts w:ascii="Arial" w:hAnsi="Arial" w:cs="Arial"/>
          <w:sz w:val="26"/>
          <w:szCs w:val="26"/>
        </w:rPr>
        <w:t xml:space="preserve"> Тюменской области уделяется особое, пристальное внимание привлечению к участию в государственных и муниципальных закупках субъектов малого предпринимательства и социально ориентированных некоммерческих организаций. Речь идет не только об информационной и консультационной поддержке.  В целях оказания дополнительной поддержки субъектов малого предпринимательства, увеличения доли заключенных с ними контрактов, расширен перечень товаров, рекомендуемых к закупке исключительно путем проведения специализированных торгов для СМП, СОНКО. В рамках Методики оценки эффективности закупок заявлен повышенный показатель доли государственных закупок у СМП, СОНКО, и с 2013 года это требование неизменно соблюдается. </w:t>
      </w:r>
    </w:p>
    <w:p w:rsidR="00E66D22" w:rsidRPr="00E66D22" w:rsidRDefault="00E66D22" w:rsidP="00E66D22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E66D22">
        <w:rPr>
          <w:rFonts w:ascii="Arial" w:hAnsi="Arial" w:cs="Arial"/>
          <w:sz w:val="26"/>
          <w:szCs w:val="26"/>
        </w:rPr>
        <w:t xml:space="preserve">Субъекты малого и среднего предпринимательства активно привлекаются на субподряд: только в 2017 году общий объем закупок у этой части поставщиков составил более 4 </w:t>
      </w:r>
      <w:proofErr w:type="spellStart"/>
      <w:r w:rsidRPr="00E66D22">
        <w:rPr>
          <w:rFonts w:ascii="Arial" w:hAnsi="Arial" w:cs="Arial"/>
          <w:sz w:val="26"/>
          <w:szCs w:val="26"/>
        </w:rPr>
        <w:t>млрд.рублей</w:t>
      </w:r>
      <w:proofErr w:type="spellEnd"/>
      <w:r w:rsidRPr="00E66D22">
        <w:rPr>
          <w:rFonts w:ascii="Arial" w:hAnsi="Arial" w:cs="Arial"/>
          <w:sz w:val="26"/>
          <w:szCs w:val="26"/>
        </w:rPr>
        <w:t>. Дополнительно в текущем режиме осуществляется контроль отражения информации о поставщиках в реестре контрактов ЕИС.</w:t>
      </w:r>
    </w:p>
    <w:p w:rsidR="00E66D22" w:rsidRPr="00E66D22" w:rsidRDefault="00E66D22" w:rsidP="00E66D22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E66D22">
        <w:rPr>
          <w:rFonts w:ascii="Arial" w:hAnsi="Arial" w:cs="Arial"/>
          <w:sz w:val="26"/>
          <w:szCs w:val="26"/>
        </w:rPr>
        <w:t>Принимаемые меры позволяют стабильно, из года в год превышать установленную законом 15-процентную норму закупок: по итогам 2015 года – 19,5%, в 2016 году – 28%, в 2017 году – 38%. Это подтверждается и тем, что по итогам 2017 года Тюменская область впервые стала лидером в Рейтинге инвестиционной привлекательности регионов</w:t>
      </w:r>
      <w:r w:rsidR="009523C5">
        <w:rPr>
          <w:rFonts w:ascii="Arial" w:hAnsi="Arial" w:cs="Arial"/>
          <w:sz w:val="26"/>
          <w:szCs w:val="26"/>
        </w:rPr>
        <w:t>.</w:t>
      </w:r>
    </w:p>
    <w:p w:rsidR="008C4D95" w:rsidRDefault="00E66D22" w:rsidP="00E66D22">
      <w:pPr>
        <w:spacing w:after="0"/>
        <w:ind w:firstLine="567"/>
        <w:jc w:val="both"/>
        <w:rPr>
          <w:rFonts w:ascii="Arial" w:hAnsi="Arial" w:cs="Arial"/>
          <w:sz w:val="26"/>
          <w:szCs w:val="26"/>
        </w:rPr>
      </w:pPr>
      <w:r w:rsidRPr="00E66D22">
        <w:rPr>
          <w:rFonts w:ascii="Arial" w:hAnsi="Arial" w:cs="Arial"/>
          <w:sz w:val="26"/>
          <w:szCs w:val="26"/>
        </w:rPr>
        <w:t>Стабильное сокращение обоснованных жалоб в регионе стало возможным благодаря проводимой всесторонней информационной поддержке, разработанным типовым формам. Это позволяет повысить не только грамотность при участии в закупках, но и в целом качество исполнения государственного заказа, его эффективность.</w:t>
      </w:r>
    </w:p>
    <w:p w:rsidR="001149E1" w:rsidRDefault="001149E1" w:rsidP="001149E1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1149E1">
        <w:rPr>
          <w:rFonts w:ascii="Arial" w:hAnsi="Arial" w:cs="Arial"/>
          <w:b/>
          <w:sz w:val="26"/>
          <w:szCs w:val="26"/>
        </w:rPr>
        <w:lastRenderedPageBreak/>
        <w:t>Критерий эффективности планирования</w:t>
      </w:r>
    </w:p>
    <w:p w:rsidR="001149E1" w:rsidRDefault="001149E1" w:rsidP="001149E1">
      <w:pPr>
        <w:pStyle w:val="a3"/>
        <w:spacing w:after="0"/>
        <w:rPr>
          <w:rFonts w:ascii="Arial" w:hAnsi="Arial" w:cs="Arial"/>
          <w:b/>
          <w:sz w:val="26"/>
          <w:szCs w:val="26"/>
        </w:rPr>
      </w:pP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149E1">
        <w:rPr>
          <w:rFonts w:ascii="Arial" w:hAnsi="Arial" w:cs="Arial"/>
          <w:sz w:val="26"/>
          <w:szCs w:val="26"/>
        </w:rPr>
        <w:t>Критерий состоит из 2 показателей. Максимальное количество присвоенных баллов в результате интегральной оценки - 3.</w:t>
      </w:r>
    </w:p>
    <w:p w:rsidR="003248DB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149E1" w:rsidRPr="003248DB" w:rsidRDefault="001149E1" w:rsidP="003248DB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3248DB">
        <w:rPr>
          <w:rFonts w:ascii="Arial" w:hAnsi="Arial" w:cs="Arial"/>
          <w:b/>
          <w:i/>
          <w:sz w:val="26"/>
          <w:szCs w:val="26"/>
        </w:rPr>
        <w:t>К4.1 - Показатель количества изменений в плане-графике в расчете на одну опубликованную конкурентную закупку</w:t>
      </w:r>
    </w:p>
    <w:p w:rsidR="003248DB" w:rsidRPr="003248DB" w:rsidRDefault="003248DB" w:rsidP="003248DB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1149E1" w:rsidRPr="003248DB" w:rsidRDefault="001149E1" w:rsidP="003248DB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3248DB">
        <w:rPr>
          <w:rFonts w:ascii="Arial" w:hAnsi="Arial" w:cs="Arial"/>
          <w:b/>
          <w:i/>
          <w:sz w:val="26"/>
          <w:szCs w:val="26"/>
        </w:rPr>
        <w:t>К4.2 - Доля закупок, осуществленных в IV квартале</w:t>
      </w:r>
      <w:r w:rsidR="003248DB" w:rsidRPr="003248DB">
        <w:rPr>
          <w:rFonts w:ascii="Arial" w:hAnsi="Arial" w:cs="Arial"/>
          <w:b/>
          <w:i/>
          <w:sz w:val="26"/>
          <w:szCs w:val="26"/>
        </w:rPr>
        <w:t xml:space="preserve"> (баллы не присваиваются, так как показатель рассчитывается только по итогам отчетного года).</w:t>
      </w:r>
    </w:p>
    <w:p w:rsidR="003248DB" w:rsidRPr="001149E1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149E1" w:rsidRP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149E1">
        <w:rPr>
          <w:rFonts w:ascii="Arial" w:hAnsi="Arial" w:cs="Arial"/>
          <w:sz w:val="26"/>
          <w:szCs w:val="26"/>
        </w:rPr>
        <w:t>Планирование является одной из важнейших составляющих и ключевым этапом закупочной деятельности как государственных и муниципальных заказчиков, бюджетных учреждений, так и коммерческих организаций, потенциальных поставщиков (подрядчиков, исполнителей). Частое внесение изменений в планы-графики, подлежащие обязательной публикации в Единой информационной системе в сфере закупок, препятствует своевременному и качественному планированию участия потенциальных поставщиков в государственных и муниципальных закупках, низкой конкуренции, увеличения вероятности срыва проведения закупок по причине отсутствия участников.</w:t>
      </w:r>
    </w:p>
    <w:p w:rsidR="001149E1" w:rsidRP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149E1">
        <w:rPr>
          <w:rFonts w:ascii="Arial" w:hAnsi="Arial" w:cs="Arial"/>
          <w:sz w:val="26"/>
          <w:szCs w:val="26"/>
        </w:rPr>
        <w:t xml:space="preserve">С целью повышения эффективности закупок в данном направлении в региональную Методику оценки внесены показатели «Частота изменений планов-графиков», «Доля закупок IV квартала». Динамика показателей с 2014 года стремительно улучшается. Этому активно способствует введение ограничения на изменение планов-графиков заказчиков. В соответствие с распоряжением Правительства Тюменской области изменения возможны только в течение последнего месяца квартала (за исключением ряда установленных случаев - полученной экономии, необходимости повторных закупок, выделения дополнительного финансирования и пр.). </w:t>
      </w:r>
    </w:p>
    <w:p w:rsidR="001149E1" w:rsidRP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149E1">
        <w:rPr>
          <w:rFonts w:ascii="Arial" w:hAnsi="Arial" w:cs="Arial"/>
          <w:sz w:val="26"/>
          <w:szCs w:val="26"/>
        </w:rPr>
        <w:t xml:space="preserve">В результате качественного планирования своих закупок заказчиками, в 2 раза сократилось количество закупок в IV квартале года: с 51% в 2013 году д 23% - в 2017 году. </w:t>
      </w: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149E1">
        <w:rPr>
          <w:rFonts w:ascii="Arial" w:hAnsi="Arial" w:cs="Arial"/>
          <w:sz w:val="26"/>
          <w:szCs w:val="26"/>
        </w:rPr>
        <w:t>Это в свою очередь позволяет планировать свою деятельность Уполномоченному органу, обеспечивая своевременную и качественную организацию закупочных процедур без каких-либо сбоев и накладок. Заказчики получают требуемые товары (работы, услуги) в соответствии со своими потребностями.</w:t>
      </w: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149E1" w:rsidRDefault="001149E1" w:rsidP="001149E1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1149E1">
        <w:rPr>
          <w:rFonts w:ascii="Arial" w:hAnsi="Arial" w:cs="Arial"/>
          <w:b/>
          <w:sz w:val="26"/>
          <w:szCs w:val="26"/>
        </w:rPr>
        <w:lastRenderedPageBreak/>
        <w:t>Критерий подозрительности закупок</w:t>
      </w:r>
    </w:p>
    <w:p w:rsidR="001149E1" w:rsidRDefault="001149E1" w:rsidP="001149E1">
      <w:pPr>
        <w:pStyle w:val="a3"/>
        <w:spacing w:after="0"/>
        <w:rPr>
          <w:rFonts w:ascii="Arial" w:hAnsi="Arial" w:cs="Arial"/>
          <w:b/>
          <w:sz w:val="26"/>
          <w:szCs w:val="26"/>
        </w:rPr>
      </w:pPr>
    </w:p>
    <w:p w:rsidR="001149E1" w:rsidRDefault="001149E1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149E1">
        <w:rPr>
          <w:rFonts w:ascii="Arial" w:hAnsi="Arial" w:cs="Arial"/>
          <w:sz w:val="26"/>
          <w:szCs w:val="26"/>
        </w:rPr>
        <w:t>Критерий отображает закупки, в которых могут быть выявлены различные нарушения или существенные отклонения, недобросовестность поставщиков, коррупционная составляющая. Критерий состоит из 4 показателей. Максимальное количество присвоенных баллов в результате интегральной оценки — 12</w:t>
      </w:r>
      <w:r w:rsidR="003248DB">
        <w:rPr>
          <w:rFonts w:ascii="Arial" w:hAnsi="Arial" w:cs="Arial"/>
          <w:sz w:val="26"/>
          <w:szCs w:val="26"/>
        </w:rPr>
        <w:t>.</w:t>
      </w:r>
    </w:p>
    <w:p w:rsidR="003248DB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248DB" w:rsidRPr="00EC6817" w:rsidRDefault="003248DB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К5.1 - Показатель качества исполнения контрактов</w:t>
      </w:r>
    </w:p>
    <w:p w:rsidR="003248DB" w:rsidRPr="00EC6817" w:rsidRDefault="003248DB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3248DB" w:rsidRPr="00EC6817" w:rsidRDefault="003248DB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 xml:space="preserve">К5.2 - Доля закупок по </w:t>
      </w:r>
      <w:proofErr w:type="spellStart"/>
      <w:r w:rsidRPr="00EC6817">
        <w:rPr>
          <w:rFonts w:ascii="Arial" w:hAnsi="Arial" w:cs="Arial"/>
          <w:b/>
          <w:i/>
          <w:sz w:val="26"/>
          <w:szCs w:val="26"/>
        </w:rPr>
        <w:t>неминимальной</w:t>
      </w:r>
      <w:proofErr w:type="spellEnd"/>
      <w:r w:rsidRPr="00EC6817">
        <w:rPr>
          <w:rFonts w:ascii="Arial" w:hAnsi="Arial" w:cs="Arial"/>
          <w:b/>
          <w:i/>
          <w:sz w:val="26"/>
          <w:szCs w:val="26"/>
        </w:rPr>
        <w:t xml:space="preserve"> цене</w:t>
      </w:r>
    </w:p>
    <w:p w:rsidR="003248DB" w:rsidRPr="00EC6817" w:rsidRDefault="003248DB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3248DB" w:rsidRPr="00EC6817" w:rsidRDefault="003248DB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К5.3 - Доля заявок, не принявших участие в аукционе</w:t>
      </w:r>
    </w:p>
    <w:p w:rsidR="003248DB" w:rsidRPr="00EC6817" w:rsidRDefault="003248DB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3248DB" w:rsidRPr="00EC6817" w:rsidRDefault="003248DB" w:rsidP="00EC6817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EC6817">
        <w:rPr>
          <w:rFonts w:ascii="Arial" w:hAnsi="Arial" w:cs="Arial"/>
          <w:b/>
          <w:i/>
          <w:sz w:val="26"/>
          <w:szCs w:val="26"/>
        </w:rPr>
        <w:t>К5.4- Доля допущенных заявок от общего количества поданных заявок для участия в конкурентных процедурах</w:t>
      </w:r>
    </w:p>
    <w:p w:rsidR="003248DB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15C2A" w:rsidRPr="00B15C2A" w:rsidRDefault="00B15C2A" w:rsidP="00B15C2A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B15C2A">
        <w:rPr>
          <w:rFonts w:ascii="Arial" w:hAnsi="Arial" w:cs="Arial"/>
          <w:sz w:val="26"/>
          <w:szCs w:val="26"/>
        </w:rPr>
        <w:t xml:space="preserve">Критерий отображает закупки, в которых могут быть выявлены различные нарушения или существенные отклонения, недобросовестность поставщиков, коррупционная составляющая. Среди них «Доля закупок по </w:t>
      </w:r>
      <w:proofErr w:type="spellStart"/>
      <w:r w:rsidRPr="00B15C2A">
        <w:rPr>
          <w:rFonts w:ascii="Arial" w:hAnsi="Arial" w:cs="Arial"/>
          <w:sz w:val="26"/>
          <w:szCs w:val="26"/>
        </w:rPr>
        <w:t>неминимальной</w:t>
      </w:r>
      <w:proofErr w:type="spellEnd"/>
      <w:r w:rsidRPr="00B15C2A">
        <w:rPr>
          <w:rFonts w:ascii="Arial" w:hAnsi="Arial" w:cs="Arial"/>
          <w:sz w:val="26"/>
          <w:szCs w:val="26"/>
        </w:rPr>
        <w:t xml:space="preserve"> цене», «Доля допущенных заявок участников», «Доля заявок, не принявших участие в аукционе», «Качество исполнения контрактов». Последний показатель особенно важен, так как размещение государственного (муниципального) заказа не заканчивается на этапе заключения контракта. Для оценки эффективности закупки необходимо определить достижение основной цели закупки - получение тех нужд, для которых закупка и проводилось.</w:t>
      </w:r>
    </w:p>
    <w:p w:rsidR="00B15C2A" w:rsidRPr="00B15C2A" w:rsidRDefault="00B15C2A" w:rsidP="00B15C2A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15C2A" w:rsidRPr="00B15C2A" w:rsidRDefault="00B15C2A" w:rsidP="00B15C2A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B15C2A">
        <w:rPr>
          <w:rFonts w:ascii="Arial" w:hAnsi="Arial" w:cs="Arial"/>
          <w:sz w:val="26"/>
          <w:szCs w:val="26"/>
        </w:rPr>
        <w:t>Поставленные изначально цели достигаются путем утверждения и широкого применения типовых контрактов, в которых установлена серьезная ответственность поставщика за неисполнение (некачественное исполнение контракта), минимизация возможных случаев сговора между участниками за счет выявления повторяющихся закупок с заявками, не участвующими в аукционе. Анализ отклонения участников по вторым частям позволяет выявить случаи формального подхода, исключая тем самым коррупционную составляющую.</w:t>
      </w:r>
    </w:p>
    <w:p w:rsidR="003248DB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248DB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248DB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248DB" w:rsidRDefault="003248DB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Default="003A0C8D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Default="003A0C8D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Default="003A0C8D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Default="003A0C8D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Pr="001149E1" w:rsidRDefault="003A0C8D" w:rsidP="001149E1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Pr="003A0C8D" w:rsidRDefault="003A0C8D" w:rsidP="003A0C8D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3A0C8D">
        <w:rPr>
          <w:rFonts w:ascii="Arial" w:hAnsi="Arial" w:cs="Arial"/>
          <w:b/>
          <w:sz w:val="26"/>
          <w:szCs w:val="26"/>
        </w:rPr>
        <w:lastRenderedPageBreak/>
        <w:t>Критерий соблюдения принципа профессионализма заказчиков</w:t>
      </w:r>
    </w:p>
    <w:p w:rsidR="003A0C8D" w:rsidRPr="003A0C8D" w:rsidRDefault="003A0C8D" w:rsidP="003A0C8D">
      <w:pPr>
        <w:pStyle w:val="a3"/>
        <w:spacing w:after="0"/>
        <w:rPr>
          <w:rFonts w:ascii="Arial" w:hAnsi="Arial" w:cs="Arial"/>
          <w:b/>
          <w:sz w:val="26"/>
          <w:szCs w:val="26"/>
        </w:rPr>
      </w:pPr>
    </w:p>
    <w:p w:rsidR="003A0C8D" w:rsidRDefault="003A0C8D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3A0C8D">
        <w:rPr>
          <w:rFonts w:ascii="Arial" w:hAnsi="Arial" w:cs="Arial"/>
          <w:sz w:val="26"/>
          <w:szCs w:val="26"/>
        </w:rPr>
        <w:t>Критерий включает четыре показателя. При расчете К6.1, К6.2, К6.3 используются только сведения о закупках органов государственной власти Тюменской области и их подведомственных учреждений. Показатели характеризуют уровень профессиональной подготовки специалистов контрактных служб, контрактных управляющих государственных заказчиков Тюменской области.</w:t>
      </w:r>
    </w:p>
    <w:p w:rsidR="003A0C8D" w:rsidRDefault="003A0C8D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Pr="003A0C8D" w:rsidRDefault="003A0C8D" w:rsidP="003A0C8D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3A0C8D">
        <w:rPr>
          <w:rFonts w:ascii="Arial" w:hAnsi="Arial" w:cs="Arial"/>
          <w:b/>
          <w:i/>
          <w:sz w:val="26"/>
          <w:szCs w:val="26"/>
        </w:rPr>
        <w:t>К6.1 - Показатель качества подготовки заявок на проведение конкурентных закупок</w:t>
      </w:r>
    </w:p>
    <w:p w:rsidR="003A0C8D" w:rsidRPr="003A0C8D" w:rsidRDefault="003A0C8D" w:rsidP="003A0C8D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3A0C8D" w:rsidRPr="003A0C8D" w:rsidRDefault="003A0C8D" w:rsidP="003A0C8D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3A0C8D">
        <w:rPr>
          <w:rFonts w:ascii="Arial" w:hAnsi="Arial" w:cs="Arial"/>
          <w:b/>
          <w:i/>
          <w:sz w:val="26"/>
          <w:szCs w:val="26"/>
        </w:rPr>
        <w:t>К6.2 — Доля заявок, направленных с нарушением сроков</w:t>
      </w:r>
    </w:p>
    <w:p w:rsidR="003A0C8D" w:rsidRPr="003A0C8D" w:rsidRDefault="003A0C8D" w:rsidP="003A0C8D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3A0C8D" w:rsidRPr="003A0C8D" w:rsidRDefault="003A0C8D" w:rsidP="003A0C8D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3A0C8D">
        <w:rPr>
          <w:rFonts w:ascii="Arial" w:hAnsi="Arial" w:cs="Arial"/>
          <w:b/>
          <w:i/>
          <w:sz w:val="26"/>
          <w:szCs w:val="26"/>
        </w:rPr>
        <w:t>К6.3 – Показатель готовности работы государственных заказчиков в Региональной и муниципальной информационной системе (РМИС)</w:t>
      </w:r>
    </w:p>
    <w:p w:rsidR="003A0C8D" w:rsidRPr="003A0C8D" w:rsidRDefault="003A0C8D" w:rsidP="003A0C8D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</w:p>
    <w:p w:rsidR="003A0C8D" w:rsidRPr="003A0C8D" w:rsidRDefault="003A0C8D" w:rsidP="003A0C8D">
      <w:pPr>
        <w:spacing w:after="0"/>
        <w:ind w:left="567"/>
        <w:jc w:val="both"/>
        <w:rPr>
          <w:rFonts w:ascii="Arial" w:hAnsi="Arial" w:cs="Arial"/>
          <w:b/>
          <w:i/>
          <w:sz w:val="26"/>
          <w:szCs w:val="26"/>
        </w:rPr>
      </w:pPr>
      <w:r w:rsidRPr="003A0C8D">
        <w:rPr>
          <w:rFonts w:ascii="Arial" w:hAnsi="Arial" w:cs="Arial"/>
          <w:b/>
          <w:i/>
          <w:sz w:val="26"/>
          <w:szCs w:val="26"/>
        </w:rPr>
        <w:t>К6.4 – Показатель уровня повышения профессиональной грамотности заказчиков</w:t>
      </w:r>
    </w:p>
    <w:p w:rsidR="003A0C8D" w:rsidRPr="003A0C8D" w:rsidRDefault="003A0C8D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При общей интегральной оценке эффективности закупок баллы по показателям К6.1, К6.2, К6.3 не учитываются. Сумма баллов показателей Критерия соблюдения принципа профессионализма заказчиков является основой дополнительной оценки эффективности — ОЦЕНКИ уровня профессионализма государственных заказчиков. Показателям К6.1, К6.2, К6.3 при расчете баллов присваивается весовой коэффициент 0,6 -  0,3 — 0,1 соответственно. Таким образом, максимальное общее количество баллов по трем критериям составляет 3.</w:t>
      </w: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Показатель К6.4 рассчитывается один раз по итогам года в целом по Тюменской области.  Распределение по государственным заказчикам не осуществляется, баллы не присваиваются. Показатель носит информационный характер.</w:t>
      </w:r>
    </w:p>
    <w:p w:rsidR="003A0C8D" w:rsidRDefault="003A0C8D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Pr="003A0C8D" w:rsidRDefault="006B0264" w:rsidP="003A0C8D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3A0C8D" w:rsidRPr="003A0C8D" w:rsidRDefault="006B0264" w:rsidP="003A0C8D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Итоговый рейтинг</w:t>
      </w:r>
    </w:p>
    <w:p w:rsidR="00F21DD6" w:rsidRPr="00F21DD6" w:rsidRDefault="00F21DD6" w:rsidP="00F21DD6">
      <w:pPr>
        <w:spacing w:after="0"/>
        <w:ind w:firstLine="720"/>
        <w:jc w:val="both"/>
        <w:rPr>
          <w:rFonts w:ascii="Arial" w:hAnsi="Arial" w:cs="Arial"/>
          <w:b/>
          <w:sz w:val="26"/>
          <w:szCs w:val="26"/>
        </w:rPr>
      </w:pP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 xml:space="preserve">По результатам анализа достигнутых значений показателей в рамках каждого из критериев эффективности закупок в соответствии с утвержденной Методикой выставляется комплексная оценка, для расчета которой используется бальная шкала. </w:t>
      </w: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 xml:space="preserve">Каждому показателю, включенному в комплексную оценку, присваивается определенное количество баллов в соответствии со степенью эффективности от 0 до 3, далее определяется совокупный показатель. </w:t>
      </w: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По итогам расчета государственным и муниципальным заказчикам Тюменской области присваивается оценка эффективности закупок:</w:t>
      </w: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1.</w:t>
      </w:r>
      <w:r w:rsidRPr="006B0264">
        <w:rPr>
          <w:rFonts w:ascii="Arial" w:hAnsi="Arial" w:cs="Arial"/>
          <w:sz w:val="26"/>
          <w:szCs w:val="26"/>
        </w:rPr>
        <w:tab/>
        <w:t>Эффективные закупки</w:t>
      </w: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2.</w:t>
      </w:r>
      <w:r w:rsidRPr="006B0264">
        <w:rPr>
          <w:rFonts w:ascii="Arial" w:hAnsi="Arial" w:cs="Arial"/>
          <w:sz w:val="26"/>
          <w:szCs w:val="26"/>
        </w:rPr>
        <w:tab/>
        <w:t>Умеренная эффективность</w:t>
      </w:r>
    </w:p>
    <w:p w:rsidR="006B0264" w:rsidRPr="006B0264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3.</w:t>
      </w:r>
      <w:r w:rsidRPr="006B0264">
        <w:rPr>
          <w:rFonts w:ascii="Arial" w:hAnsi="Arial" w:cs="Arial"/>
          <w:sz w:val="26"/>
          <w:szCs w:val="26"/>
        </w:rPr>
        <w:tab/>
        <w:t>Неэффективные закупки</w:t>
      </w:r>
    </w:p>
    <w:p w:rsidR="003248DB" w:rsidRDefault="006B0264" w:rsidP="006B0264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4.</w:t>
      </w:r>
      <w:r w:rsidRPr="006B0264">
        <w:rPr>
          <w:rFonts w:ascii="Arial" w:hAnsi="Arial" w:cs="Arial"/>
          <w:sz w:val="26"/>
          <w:szCs w:val="26"/>
        </w:rPr>
        <w:tab/>
        <w:t>Неудовлетворительная эффективность</w:t>
      </w:r>
    </w:p>
    <w:p w:rsidR="003248DB" w:rsidRDefault="003248DB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6B0264" w:rsidRPr="006B0264" w:rsidRDefault="006B0264" w:rsidP="006B026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t>Для оценки эффективности осуществления закупок органами государственной власти Тюменской области (с учетом подведомственных учреждений) и муниципальными образованиями (городскими округами) Тюменской области, в целом по закупкам для обеспечения нужд Тюменской области используется следующая балльная шкала:</w:t>
      </w:r>
    </w:p>
    <w:p w:rsidR="006B0264" w:rsidRPr="006B0264" w:rsidRDefault="006B0264" w:rsidP="006B0264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tbl>
      <w:tblPr>
        <w:tblW w:w="10570" w:type="dxa"/>
        <w:tblInd w:w="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0"/>
        <w:gridCol w:w="1191"/>
        <w:gridCol w:w="1474"/>
        <w:gridCol w:w="1474"/>
        <w:gridCol w:w="1531"/>
      </w:tblGrid>
      <w:tr w:rsidR="006B0264" w:rsidRPr="006B0264" w:rsidTr="006B0264">
        <w:tc>
          <w:tcPr>
            <w:tcW w:w="4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Критерии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Оценка эффективности осуществления закупок товаров, работ, услуг для обеспечения нужд Тюменской области</w:t>
            </w:r>
          </w:p>
        </w:tc>
      </w:tr>
      <w:tr w:rsidR="006B0264" w:rsidRPr="006B0264" w:rsidTr="006B0264">
        <w:tc>
          <w:tcPr>
            <w:tcW w:w="4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Эффективная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Умеренно эффективная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Неэффективная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Неудовлетворительная</w:t>
            </w:r>
          </w:p>
        </w:tc>
      </w:tr>
      <w:tr w:rsidR="006B0264" w:rsidRPr="006B0264" w:rsidTr="006B0264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сумма присвоенных баллов</w:t>
            </w:r>
          </w:p>
        </w:tc>
      </w:tr>
      <w:tr w:rsidR="006B0264" w:rsidRPr="006B0264" w:rsidTr="006B0264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 xml:space="preserve">Критерий </w:t>
            </w:r>
            <w:proofErr w:type="spellStart"/>
            <w:r w:rsidRPr="006B0264">
              <w:rPr>
                <w:rFonts w:ascii="Arial" w:hAnsi="Arial" w:cs="Arial"/>
                <w:sz w:val="26"/>
                <w:szCs w:val="26"/>
              </w:rPr>
              <w:t>конкурентности</w:t>
            </w:r>
            <w:proofErr w:type="spellEnd"/>
            <w:r w:rsidRPr="006B0264">
              <w:rPr>
                <w:rFonts w:ascii="Arial" w:hAnsi="Arial" w:cs="Arial"/>
                <w:sz w:val="26"/>
                <w:szCs w:val="26"/>
              </w:rPr>
              <w:t xml:space="preserve"> закупок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16-21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11-15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6-10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0 - 5</w:t>
            </w:r>
          </w:p>
        </w:tc>
      </w:tr>
      <w:tr w:rsidR="006B0264" w:rsidRPr="006B0264" w:rsidTr="006B0264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Критерий экономности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5 - 6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3 - 4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1 - 2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0 - 1</w:t>
            </w:r>
          </w:p>
        </w:tc>
      </w:tr>
      <w:tr w:rsidR="006B0264" w:rsidRPr="006B0264" w:rsidTr="006B0264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Критерий соблюдения законодательства в сфере закупок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7-9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5-6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3-4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0 - 2</w:t>
            </w:r>
          </w:p>
        </w:tc>
      </w:tr>
      <w:tr w:rsidR="006B0264" w:rsidRPr="006B0264" w:rsidTr="006B0264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Критерий эффективности планирования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6B0264" w:rsidRPr="006B0264" w:rsidTr="006B0264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Критерий подозрительности закупок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10-9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8-6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5-3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0-2</w:t>
            </w:r>
          </w:p>
        </w:tc>
      </w:tr>
      <w:tr w:rsidR="006B0264" w:rsidRPr="006B0264" w:rsidTr="006B0264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II</w:t>
            </w: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-1. Оценка эффективности осуществления закупок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42-51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26-41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11-25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0 - 10</w:t>
            </w:r>
          </w:p>
        </w:tc>
      </w:tr>
    </w:tbl>
    <w:p w:rsidR="006B0264" w:rsidRDefault="006B0264" w:rsidP="006B026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6B026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6B0264" w:rsidRDefault="006B0264" w:rsidP="006B026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6B0264">
        <w:rPr>
          <w:rFonts w:ascii="Arial" w:hAnsi="Arial" w:cs="Arial"/>
          <w:sz w:val="26"/>
          <w:szCs w:val="26"/>
        </w:rPr>
        <w:lastRenderedPageBreak/>
        <w:t>Оценка уровня профессионализма государственных заказчиков Тюменской области осуществляется на основе показателей Критерия соблюдения принципа профессионализма с учетом присвоенного веса каждому из показателей критерия. Для оценки используется следующая балльная шкала:</w:t>
      </w:r>
    </w:p>
    <w:p w:rsidR="009523C5" w:rsidRPr="006B0264" w:rsidRDefault="009523C5" w:rsidP="006B026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tbl>
      <w:tblPr>
        <w:tblW w:w="10513" w:type="dxa"/>
        <w:tblInd w:w="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6"/>
        <w:gridCol w:w="1418"/>
        <w:gridCol w:w="1474"/>
        <w:gridCol w:w="1474"/>
        <w:gridCol w:w="1531"/>
      </w:tblGrid>
      <w:tr w:rsidR="006B0264" w:rsidRPr="006B0264" w:rsidTr="006C0D13">
        <w:tc>
          <w:tcPr>
            <w:tcW w:w="4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Критерии</w:t>
            </w:r>
          </w:p>
        </w:tc>
        <w:tc>
          <w:tcPr>
            <w:tcW w:w="5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9523C5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Оценка</w:t>
            </w:r>
            <w:r w:rsidR="006B0264" w:rsidRPr="006B0264">
              <w:rPr>
                <w:rFonts w:ascii="Arial" w:hAnsi="Arial" w:cs="Arial"/>
                <w:sz w:val="26"/>
                <w:szCs w:val="26"/>
              </w:rPr>
              <w:t xml:space="preserve"> уровня профессионализма государственных заказчиков</w:t>
            </w:r>
          </w:p>
        </w:tc>
      </w:tr>
      <w:tr w:rsidR="006B0264" w:rsidRPr="006B0264" w:rsidTr="006C0D13">
        <w:tc>
          <w:tcPr>
            <w:tcW w:w="4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Эффективная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Умеренно эффективная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Неэффективная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Неудовлетворительная</w:t>
            </w:r>
          </w:p>
        </w:tc>
      </w:tr>
      <w:tr w:rsidR="006B0264" w:rsidRPr="006B0264" w:rsidTr="006C0D13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сумма присвоенных баллов</w:t>
            </w:r>
          </w:p>
        </w:tc>
      </w:tr>
      <w:tr w:rsidR="006B0264" w:rsidRPr="006B0264" w:rsidTr="006C0D13">
        <w:tc>
          <w:tcPr>
            <w:tcW w:w="4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Вес показателя:</w:t>
            </w:r>
          </w:p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К6.1 — 60%</w:t>
            </w:r>
          </w:p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К6.2 — 30%</w:t>
            </w:r>
          </w:p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sz w:val="26"/>
                <w:szCs w:val="26"/>
              </w:rPr>
              <w:t>К6.3 — 10%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B0264" w:rsidRPr="006B0264" w:rsidTr="006C0D13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II</w:t>
            </w: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-2. Оценка уровня профессионализма государственных заказчиков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2,5 — 3,0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1,6 — 2,4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0,7 — 1,5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264" w:rsidRPr="006B0264" w:rsidRDefault="006B0264" w:rsidP="00B67A10">
            <w:pPr>
              <w:pStyle w:val="ConsPlusNorma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B0264">
              <w:rPr>
                <w:rFonts w:ascii="Arial" w:hAnsi="Arial" w:cs="Arial"/>
                <w:b/>
                <w:bCs/>
                <w:sz w:val="26"/>
                <w:szCs w:val="26"/>
              </w:rPr>
              <w:t>0 — 0,6</w:t>
            </w:r>
          </w:p>
        </w:tc>
      </w:tr>
    </w:tbl>
    <w:p w:rsidR="003248DB" w:rsidRDefault="003248DB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205DB8" w:rsidRPr="00704602" w:rsidRDefault="00205DB8" w:rsidP="00ED17E9">
      <w:pPr>
        <w:spacing w:after="0"/>
        <w:ind w:firstLine="567"/>
        <w:jc w:val="both"/>
        <w:rPr>
          <w:rFonts w:ascii="Arial" w:hAnsi="Arial" w:cs="Arial"/>
          <w:b/>
          <w:sz w:val="26"/>
          <w:szCs w:val="26"/>
        </w:rPr>
      </w:pPr>
    </w:p>
    <w:p w:rsidR="00253542" w:rsidRDefault="00253542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D1F00" w:rsidRPr="00704602" w:rsidRDefault="001D1F00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253542" w:rsidRPr="00704602" w:rsidRDefault="00253542" w:rsidP="00ED17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EB3EA7" w:rsidRPr="00704602" w:rsidRDefault="001D1F00" w:rsidP="001D1F00">
      <w:pPr>
        <w:pStyle w:val="a3"/>
        <w:numPr>
          <w:ilvl w:val="0"/>
          <w:numId w:val="5"/>
        </w:num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1D1F00">
        <w:rPr>
          <w:rFonts w:ascii="Arial" w:hAnsi="Arial" w:cs="Arial"/>
          <w:b/>
          <w:sz w:val="26"/>
          <w:szCs w:val="26"/>
        </w:rPr>
        <w:t>Результаты проведения оценки эффективности закупок</w:t>
      </w:r>
    </w:p>
    <w:p w:rsidR="00EB3EA7" w:rsidRPr="00704602" w:rsidRDefault="00EB3EA7" w:rsidP="00ED17E9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1D1F00" w:rsidRPr="001D1F00" w:rsidRDefault="001D1F00" w:rsidP="001D1F00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1D1F00">
        <w:rPr>
          <w:rFonts w:ascii="Arial" w:hAnsi="Arial" w:cs="Arial"/>
          <w:sz w:val="26"/>
          <w:szCs w:val="26"/>
        </w:rPr>
        <w:t>В 2014 году Оценка «Умеренная эффективность» была присвоена 34</w:t>
      </w:r>
      <w:r w:rsidR="00A31EF5">
        <w:rPr>
          <w:rFonts w:ascii="Arial" w:hAnsi="Arial" w:cs="Arial"/>
          <w:sz w:val="26"/>
          <w:szCs w:val="26"/>
        </w:rPr>
        <w:t xml:space="preserve">% государственных заказчиков, </w:t>
      </w:r>
      <w:r w:rsidRPr="001D1F00">
        <w:rPr>
          <w:rFonts w:ascii="Arial" w:hAnsi="Arial" w:cs="Arial"/>
          <w:sz w:val="26"/>
          <w:szCs w:val="26"/>
        </w:rPr>
        <w:t>по итогам 2017 года – 84%.</w:t>
      </w:r>
    </w:p>
    <w:p w:rsidR="001D1F00" w:rsidRPr="001D1F00" w:rsidRDefault="001D1F00" w:rsidP="001D1F00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1D1F00">
        <w:rPr>
          <w:rFonts w:ascii="Arial" w:hAnsi="Arial" w:cs="Arial"/>
          <w:sz w:val="26"/>
          <w:szCs w:val="26"/>
        </w:rPr>
        <w:t>Такая же положительная динамика наблюдается и в сфере муниципальных закупок: за два года проводим</w:t>
      </w:r>
      <w:r w:rsidR="00A31EF5">
        <w:rPr>
          <w:rFonts w:ascii="Arial" w:hAnsi="Arial" w:cs="Arial"/>
          <w:sz w:val="26"/>
          <w:szCs w:val="26"/>
        </w:rPr>
        <w:t>ой</w:t>
      </w:r>
      <w:r w:rsidRPr="001D1F00">
        <w:rPr>
          <w:rFonts w:ascii="Arial" w:hAnsi="Arial" w:cs="Arial"/>
          <w:sz w:val="26"/>
          <w:szCs w:val="26"/>
        </w:rPr>
        <w:t xml:space="preserve"> </w:t>
      </w:r>
      <w:r w:rsidR="00A31EF5">
        <w:rPr>
          <w:rFonts w:ascii="Arial" w:hAnsi="Arial" w:cs="Arial"/>
          <w:sz w:val="26"/>
          <w:szCs w:val="26"/>
        </w:rPr>
        <w:t xml:space="preserve">оценки </w:t>
      </w:r>
      <w:r w:rsidRPr="001D1F00">
        <w:rPr>
          <w:rFonts w:ascii="Arial" w:hAnsi="Arial" w:cs="Arial"/>
          <w:sz w:val="26"/>
          <w:szCs w:val="26"/>
        </w:rPr>
        <w:t>эффективности количество заказчиков с «Умеренной эффективностью закупок» выросло с 35% до 46%.</w:t>
      </w:r>
    </w:p>
    <w:p w:rsidR="003D6803" w:rsidRPr="00704602" w:rsidRDefault="001D1F00" w:rsidP="001D1F00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1D1F00">
        <w:rPr>
          <w:rFonts w:ascii="Arial" w:hAnsi="Arial" w:cs="Arial"/>
          <w:sz w:val="26"/>
          <w:szCs w:val="26"/>
        </w:rPr>
        <w:t>При этом необходимо отметить, что показателям в соответствии с утвержденной Методикой целенаправленно предъявляются завышенные требования, и эти требования постоянно поднимаются с целью стимулирования заказчиков на дальнейшее повышение эффективности закупок.</w:t>
      </w:r>
    </w:p>
    <w:sectPr w:rsidR="003D6803" w:rsidRPr="00704602" w:rsidSect="00704602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4A2" w:rsidRDefault="007024A2" w:rsidP="00611376">
      <w:pPr>
        <w:spacing w:after="0" w:line="240" w:lineRule="auto"/>
      </w:pPr>
      <w:r>
        <w:separator/>
      </w:r>
    </w:p>
  </w:endnote>
  <w:endnote w:type="continuationSeparator" w:id="0">
    <w:p w:rsidR="007024A2" w:rsidRDefault="007024A2" w:rsidP="0061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3052355"/>
      <w:docPartObj>
        <w:docPartGallery w:val="Page Numbers (Bottom of Page)"/>
        <w:docPartUnique/>
      </w:docPartObj>
    </w:sdtPr>
    <w:sdtEndPr/>
    <w:sdtContent>
      <w:p w:rsidR="00611376" w:rsidRDefault="0061137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99D">
          <w:rPr>
            <w:noProof/>
          </w:rPr>
          <w:t>7</w:t>
        </w:r>
        <w:r>
          <w:fldChar w:fldCharType="end"/>
        </w:r>
      </w:p>
    </w:sdtContent>
  </w:sdt>
  <w:p w:rsidR="00611376" w:rsidRDefault="006113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4A2" w:rsidRDefault="007024A2" w:rsidP="00611376">
      <w:pPr>
        <w:spacing w:after="0" w:line="240" w:lineRule="auto"/>
      </w:pPr>
      <w:r>
        <w:separator/>
      </w:r>
    </w:p>
  </w:footnote>
  <w:footnote w:type="continuationSeparator" w:id="0">
    <w:p w:rsidR="007024A2" w:rsidRDefault="007024A2" w:rsidP="00611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04A87"/>
    <w:multiLevelType w:val="hybridMultilevel"/>
    <w:tmpl w:val="CEB2FC8E"/>
    <w:lvl w:ilvl="0" w:tplc="976A50A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EB4AB4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89C146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58E796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3EB70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24C2B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AAA94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1328AD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7BCF80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361177C8"/>
    <w:multiLevelType w:val="hybridMultilevel"/>
    <w:tmpl w:val="CB3C5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26EC5"/>
    <w:multiLevelType w:val="hybridMultilevel"/>
    <w:tmpl w:val="7A4C4068"/>
    <w:lvl w:ilvl="0" w:tplc="6166030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C669A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DC65F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9484C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9C0BE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2148CE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CA2979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00850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F6B20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C13635D"/>
    <w:multiLevelType w:val="hybridMultilevel"/>
    <w:tmpl w:val="C52E1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123545"/>
    <w:multiLevelType w:val="hybridMultilevel"/>
    <w:tmpl w:val="BBECCAF6"/>
    <w:lvl w:ilvl="0" w:tplc="C400A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FCA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968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92D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60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32A4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00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90B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24D3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1F367AE"/>
    <w:multiLevelType w:val="hybridMultilevel"/>
    <w:tmpl w:val="B62EB066"/>
    <w:lvl w:ilvl="0" w:tplc="DE5CEC8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2624DF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DD0EDE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6509C1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B28D9C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B6A1A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C0521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8BE796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AE47D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E152FF3"/>
    <w:multiLevelType w:val="hybridMultilevel"/>
    <w:tmpl w:val="70F8388A"/>
    <w:lvl w:ilvl="0" w:tplc="5428EB4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A7078D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9A152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289E4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BA70B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0EAC83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88F92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7E0A7D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3A4FC3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27"/>
    <w:rsid w:val="00000F68"/>
    <w:rsid w:val="00021F6F"/>
    <w:rsid w:val="0003063C"/>
    <w:rsid w:val="0003115D"/>
    <w:rsid w:val="00031927"/>
    <w:rsid w:val="000364E7"/>
    <w:rsid w:val="000402C8"/>
    <w:rsid w:val="00060038"/>
    <w:rsid w:val="000601E3"/>
    <w:rsid w:val="00062DBF"/>
    <w:rsid w:val="00076B03"/>
    <w:rsid w:val="00076EE7"/>
    <w:rsid w:val="00083976"/>
    <w:rsid w:val="000A1BBC"/>
    <w:rsid w:val="000D26E2"/>
    <w:rsid w:val="000D7331"/>
    <w:rsid w:val="000F25C7"/>
    <w:rsid w:val="000F3FA0"/>
    <w:rsid w:val="001005C2"/>
    <w:rsid w:val="001149E1"/>
    <w:rsid w:val="00115DCD"/>
    <w:rsid w:val="00124359"/>
    <w:rsid w:val="001529E2"/>
    <w:rsid w:val="00155ACC"/>
    <w:rsid w:val="001573A4"/>
    <w:rsid w:val="001637EB"/>
    <w:rsid w:val="00171123"/>
    <w:rsid w:val="001772E4"/>
    <w:rsid w:val="0018214F"/>
    <w:rsid w:val="001B359E"/>
    <w:rsid w:val="001D1F00"/>
    <w:rsid w:val="001F63CC"/>
    <w:rsid w:val="00203BA1"/>
    <w:rsid w:val="00205DB8"/>
    <w:rsid w:val="002112BC"/>
    <w:rsid w:val="002140AF"/>
    <w:rsid w:val="002141DB"/>
    <w:rsid w:val="00223689"/>
    <w:rsid w:val="0022768B"/>
    <w:rsid w:val="00253542"/>
    <w:rsid w:val="0025397E"/>
    <w:rsid w:val="002D14C1"/>
    <w:rsid w:val="002D329F"/>
    <w:rsid w:val="002D5C80"/>
    <w:rsid w:val="002D709F"/>
    <w:rsid w:val="003248DB"/>
    <w:rsid w:val="00336F39"/>
    <w:rsid w:val="0034215F"/>
    <w:rsid w:val="00342BC8"/>
    <w:rsid w:val="003563FB"/>
    <w:rsid w:val="00367C3C"/>
    <w:rsid w:val="00387AED"/>
    <w:rsid w:val="003A0C8D"/>
    <w:rsid w:val="003A4E7B"/>
    <w:rsid w:val="003B6B9E"/>
    <w:rsid w:val="003C431D"/>
    <w:rsid w:val="003D6803"/>
    <w:rsid w:val="003E2AD7"/>
    <w:rsid w:val="003F3808"/>
    <w:rsid w:val="00401131"/>
    <w:rsid w:val="00403C30"/>
    <w:rsid w:val="004250CF"/>
    <w:rsid w:val="00432176"/>
    <w:rsid w:val="00444398"/>
    <w:rsid w:val="00465D44"/>
    <w:rsid w:val="004B256F"/>
    <w:rsid w:val="004E6151"/>
    <w:rsid w:val="005020DC"/>
    <w:rsid w:val="005130EC"/>
    <w:rsid w:val="005339BA"/>
    <w:rsid w:val="0053754F"/>
    <w:rsid w:val="00537AA2"/>
    <w:rsid w:val="00537E8F"/>
    <w:rsid w:val="005508D0"/>
    <w:rsid w:val="00555EE1"/>
    <w:rsid w:val="00561A7F"/>
    <w:rsid w:val="00565133"/>
    <w:rsid w:val="00573E09"/>
    <w:rsid w:val="005912D6"/>
    <w:rsid w:val="005A309F"/>
    <w:rsid w:val="005B4108"/>
    <w:rsid w:val="005D24E8"/>
    <w:rsid w:val="005D7D51"/>
    <w:rsid w:val="005F0F52"/>
    <w:rsid w:val="00611376"/>
    <w:rsid w:val="00620212"/>
    <w:rsid w:val="00621856"/>
    <w:rsid w:val="00623B69"/>
    <w:rsid w:val="006372DC"/>
    <w:rsid w:val="006413B8"/>
    <w:rsid w:val="00642F27"/>
    <w:rsid w:val="00681082"/>
    <w:rsid w:val="006A09C5"/>
    <w:rsid w:val="006B0264"/>
    <w:rsid w:val="006B1AEF"/>
    <w:rsid w:val="006B43EC"/>
    <w:rsid w:val="006C0D13"/>
    <w:rsid w:val="006C3DA5"/>
    <w:rsid w:val="006E66CC"/>
    <w:rsid w:val="007024A2"/>
    <w:rsid w:val="007028A2"/>
    <w:rsid w:val="00704596"/>
    <w:rsid w:val="00704602"/>
    <w:rsid w:val="00711966"/>
    <w:rsid w:val="0071499D"/>
    <w:rsid w:val="00714EC8"/>
    <w:rsid w:val="0073497E"/>
    <w:rsid w:val="00742345"/>
    <w:rsid w:val="00747F3B"/>
    <w:rsid w:val="00755C68"/>
    <w:rsid w:val="00760DC2"/>
    <w:rsid w:val="00763BAA"/>
    <w:rsid w:val="007742AB"/>
    <w:rsid w:val="0078307F"/>
    <w:rsid w:val="007C6105"/>
    <w:rsid w:val="007F14D1"/>
    <w:rsid w:val="007F5836"/>
    <w:rsid w:val="00803848"/>
    <w:rsid w:val="00817358"/>
    <w:rsid w:val="008319F9"/>
    <w:rsid w:val="00840AD1"/>
    <w:rsid w:val="00843809"/>
    <w:rsid w:val="008634A7"/>
    <w:rsid w:val="00876A85"/>
    <w:rsid w:val="00892395"/>
    <w:rsid w:val="008C210A"/>
    <w:rsid w:val="008C4D95"/>
    <w:rsid w:val="008D5560"/>
    <w:rsid w:val="008E21C7"/>
    <w:rsid w:val="0091284C"/>
    <w:rsid w:val="009133E0"/>
    <w:rsid w:val="00930831"/>
    <w:rsid w:val="009310F6"/>
    <w:rsid w:val="00935273"/>
    <w:rsid w:val="00942056"/>
    <w:rsid w:val="009523C5"/>
    <w:rsid w:val="009531C9"/>
    <w:rsid w:val="00954B7B"/>
    <w:rsid w:val="00966B80"/>
    <w:rsid w:val="009733A4"/>
    <w:rsid w:val="009818D9"/>
    <w:rsid w:val="00983680"/>
    <w:rsid w:val="00990736"/>
    <w:rsid w:val="009A0B8F"/>
    <w:rsid w:val="009A3B5A"/>
    <w:rsid w:val="009F7FEA"/>
    <w:rsid w:val="00A02C83"/>
    <w:rsid w:val="00A16CE7"/>
    <w:rsid w:val="00A255CC"/>
    <w:rsid w:val="00A272F5"/>
    <w:rsid w:val="00A31EF5"/>
    <w:rsid w:val="00A4207C"/>
    <w:rsid w:val="00A567AD"/>
    <w:rsid w:val="00A64A43"/>
    <w:rsid w:val="00A74381"/>
    <w:rsid w:val="00A936C2"/>
    <w:rsid w:val="00AA3272"/>
    <w:rsid w:val="00AA4641"/>
    <w:rsid w:val="00AA53F7"/>
    <w:rsid w:val="00AB2083"/>
    <w:rsid w:val="00AB4363"/>
    <w:rsid w:val="00B1400B"/>
    <w:rsid w:val="00B15C2A"/>
    <w:rsid w:val="00B33C0B"/>
    <w:rsid w:val="00B33C55"/>
    <w:rsid w:val="00B36631"/>
    <w:rsid w:val="00B423FF"/>
    <w:rsid w:val="00B47782"/>
    <w:rsid w:val="00B50022"/>
    <w:rsid w:val="00B95200"/>
    <w:rsid w:val="00BC1B91"/>
    <w:rsid w:val="00BC4EBC"/>
    <w:rsid w:val="00BC75DD"/>
    <w:rsid w:val="00BD535E"/>
    <w:rsid w:val="00BE1276"/>
    <w:rsid w:val="00C116AB"/>
    <w:rsid w:val="00C13D09"/>
    <w:rsid w:val="00C207F9"/>
    <w:rsid w:val="00C35415"/>
    <w:rsid w:val="00C376D3"/>
    <w:rsid w:val="00C465FC"/>
    <w:rsid w:val="00C6683B"/>
    <w:rsid w:val="00C94CEB"/>
    <w:rsid w:val="00CA51F8"/>
    <w:rsid w:val="00CA5E40"/>
    <w:rsid w:val="00CA5F00"/>
    <w:rsid w:val="00CB39A7"/>
    <w:rsid w:val="00CC2F6D"/>
    <w:rsid w:val="00CD08AE"/>
    <w:rsid w:val="00CE3D9E"/>
    <w:rsid w:val="00D123B3"/>
    <w:rsid w:val="00D26AB6"/>
    <w:rsid w:val="00D26D48"/>
    <w:rsid w:val="00D32AF2"/>
    <w:rsid w:val="00D57E6E"/>
    <w:rsid w:val="00D60179"/>
    <w:rsid w:val="00D7093D"/>
    <w:rsid w:val="00D806BD"/>
    <w:rsid w:val="00D87C3C"/>
    <w:rsid w:val="00DB1D23"/>
    <w:rsid w:val="00DB6322"/>
    <w:rsid w:val="00DC080D"/>
    <w:rsid w:val="00DC2B23"/>
    <w:rsid w:val="00DE1024"/>
    <w:rsid w:val="00DF1933"/>
    <w:rsid w:val="00DF2662"/>
    <w:rsid w:val="00E06005"/>
    <w:rsid w:val="00E10702"/>
    <w:rsid w:val="00E10C2A"/>
    <w:rsid w:val="00E1421A"/>
    <w:rsid w:val="00E4392C"/>
    <w:rsid w:val="00E45E10"/>
    <w:rsid w:val="00E66D22"/>
    <w:rsid w:val="00E725F7"/>
    <w:rsid w:val="00E7433D"/>
    <w:rsid w:val="00E84919"/>
    <w:rsid w:val="00E8615D"/>
    <w:rsid w:val="00E96C7E"/>
    <w:rsid w:val="00EA535D"/>
    <w:rsid w:val="00EB3EA7"/>
    <w:rsid w:val="00EC6817"/>
    <w:rsid w:val="00ED17E9"/>
    <w:rsid w:val="00EE5B61"/>
    <w:rsid w:val="00F05F78"/>
    <w:rsid w:val="00F21DD6"/>
    <w:rsid w:val="00F220E3"/>
    <w:rsid w:val="00F31174"/>
    <w:rsid w:val="00F46BCB"/>
    <w:rsid w:val="00F50FE1"/>
    <w:rsid w:val="00F51359"/>
    <w:rsid w:val="00FA30BB"/>
    <w:rsid w:val="00FA6024"/>
    <w:rsid w:val="00FB5578"/>
    <w:rsid w:val="00FC0A27"/>
    <w:rsid w:val="00F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C2F79-D2AB-464F-8F83-56F1C974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7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308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376D3"/>
    <w:pPr>
      <w:ind w:left="720"/>
      <w:contextualSpacing/>
    </w:pPr>
  </w:style>
  <w:style w:type="table" w:styleId="a4">
    <w:name w:val="Table Grid"/>
    <w:basedOn w:val="a1"/>
    <w:uiPriority w:val="39"/>
    <w:rsid w:val="0098368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1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D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11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1376"/>
  </w:style>
  <w:style w:type="paragraph" w:styleId="a9">
    <w:name w:val="footer"/>
    <w:basedOn w:val="a"/>
    <w:link w:val="aa"/>
    <w:uiPriority w:val="99"/>
    <w:unhideWhenUsed/>
    <w:rsid w:val="00611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1376"/>
  </w:style>
  <w:style w:type="paragraph" w:styleId="ab">
    <w:name w:val="Normal (Web)"/>
    <w:basedOn w:val="a"/>
    <w:uiPriority w:val="99"/>
    <w:semiHidden/>
    <w:unhideWhenUsed/>
    <w:rsid w:val="00B33C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9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91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3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6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500" b="0" i="0" u="none" strike="noStrike" kern="1200" spc="0" baseline="0">
                <a:solidFill>
                  <a:srgbClr val="960000"/>
                </a:solidFill>
                <a:latin typeface="+mn-lt"/>
                <a:ea typeface="+mn-ea"/>
                <a:cs typeface="+mn-cs"/>
              </a:defRPr>
            </a:pPr>
            <a:r>
              <a:rPr lang="ru-RU" sz="1500" b="0" u="none" strike="noStrike" dirty="0" smtClean="0">
                <a:solidFill>
                  <a:srgbClr val="960000"/>
                </a:solidFill>
                <a:effectLst>
                  <a:outerShdw blurRad="38100" dist="38100" dir="2700000" algn="tl">
                    <a:srgbClr val="000000">
                      <a:alpha val="43137"/>
                    </a:srgbClr>
                  </a:outerShdw>
                </a:effectLst>
              </a:rPr>
              <a:t>Оценка эффективности осуществления закупок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500" b="0" i="0" u="none" strike="noStrike" kern="1200" spc="0" baseline="0">
              <a:solidFill>
                <a:srgbClr val="96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140"/>
      <c:depthPercent val="100"/>
      <c:rAngAx val="0"/>
      <c:perspective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9974847160348472E-2"/>
          <c:y val="0.36070727251592127"/>
          <c:w val="0.60787564851846765"/>
          <c:h val="0.5896210662427480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3.0183907936704106E-2"/>
                  <c:y val="-5.29815911915393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3202599752032246E-3"/>
                  <c:y val="-5.056933952416441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8078061519227376"/>
                  <c:y val="-5.123433679691748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268931958321013"/>
                      <c:h val="0.22049004136940065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0"/>
                  <c:y val="-9.271778458519376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9063520802128909E-2"/>
                  <c:y val="-3.051280756960935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70AD47">
                  <a:lumMod val="40000"/>
                  <a:lumOff val="60000"/>
                </a:srgbClr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Лист1!$A$1:$A$5</c:f>
              <c:strCache>
                <c:ptCount val="5"/>
                <c:pt idx="0">
                  <c:v>Критерий конкурентности закупок</c:v>
                </c:pt>
                <c:pt idx="1">
                  <c:v>Критерий экономности</c:v>
                </c:pt>
                <c:pt idx="2">
                  <c:v>Критерий соблюдения законодательства в сфере закупок</c:v>
                </c:pt>
                <c:pt idx="3">
                  <c:v>Критерий эффективности планирования</c:v>
                </c:pt>
                <c:pt idx="4">
                  <c:v>Критерий подозрительности закупок</c:v>
                </c:pt>
              </c:strCache>
            </c:strRef>
          </c:cat>
          <c:val>
            <c:numRef>
              <c:f>Лист1!$B$1:$B$5</c:f>
              <c:numCache>
                <c:formatCode>0</c:formatCode>
                <c:ptCount val="5"/>
                <c:pt idx="0">
                  <c:v>21</c:v>
                </c:pt>
                <c:pt idx="1">
                  <c:v>6</c:v>
                </c:pt>
                <c:pt idx="2">
                  <c:v>9</c:v>
                </c:pt>
                <c:pt idx="3">
                  <c:v>3</c:v>
                </c:pt>
                <c:pt idx="4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>
        <a:lumMod val="40000"/>
        <a:lumOff val="60000"/>
      </a:schemeClr>
    </a:solidFill>
    <a:ln w="9525" cap="flat" cmpd="sng" algn="ctr">
      <a:noFill/>
      <a:round/>
    </a:ln>
    <a:effectLst/>
    <a:scene3d>
      <a:camera prst="orthographicFront"/>
      <a:lightRig rig="threePt" dir="t"/>
    </a:scene3d>
    <a:sp3d>
      <a:bevelT/>
    </a:sp3d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3244</Words>
  <Characters>18496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Рощина</dc:creator>
  <cp:lastModifiedBy>Шлюева Елена Валерьевна</cp:lastModifiedBy>
  <cp:revision>32</cp:revision>
  <cp:lastPrinted>2018-10-17T05:21:00Z</cp:lastPrinted>
  <dcterms:created xsi:type="dcterms:W3CDTF">2018-10-17T04:00:00Z</dcterms:created>
  <dcterms:modified xsi:type="dcterms:W3CDTF">2018-10-19T06:56:00Z</dcterms:modified>
</cp:coreProperties>
</file>