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</w:r>
      <w:r/>
    </w:p>
    <w:p>
      <w:pPr>
        <w:pStyle w:val="88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ДОРОЖНАЯ КАРТА</w:t>
      </w:r>
      <w:r/>
    </w:p>
    <w:p>
      <w:pPr>
        <w:pStyle w:val="888"/>
        <w:jc w:val="center"/>
        <w:spacing w:before="24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</w:t>
      </w:r>
      <w:r>
        <w:rPr>
          <w:rFonts w:ascii="PT Astra Serif" w:hAnsi="PT Astra Serif"/>
          <w:b/>
          <w:sz w:val="28"/>
          <w:szCs w:val="28"/>
        </w:rPr>
        <w:t xml:space="preserve">недрения</w:t>
      </w:r>
      <w:r>
        <w:rPr>
          <w:rFonts w:ascii="PT Astra Serif" w:hAnsi="PT Astra Serif"/>
          <w:b/>
          <w:sz w:val="28"/>
          <w:szCs w:val="28"/>
        </w:rPr>
        <w:t xml:space="preserve"> «Сервиса предиктивной аналитики»</w:t>
      </w:r>
      <w:r/>
    </w:p>
    <w:p>
      <w:pPr>
        <w:jc w:val="center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</w:r>
      <w:r/>
    </w:p>
    <w:tbl>
      <w:tblPr>
        <w:tblStyle w:val="881"/>
        <w:tblW w:w="0" w:type="auto"/>
        <w:tblInd w:w="-147" w:type="dxa"/>
        <w:tblLook w:val="04A0" w:firstRow="1" w:lastRow="0" w:firstColumn="1" w:lastColumn="0" w:noHBand="0" w:noVBand="1"/>
      </w:tblPr>
      <w:tblGrid>
        <w:gridCol w:w="801"/>
        <w:gridCol w:w="5550"/>
        <w:gridCol w:w="5953"/>
        <w:gridCol w:w="2984"/>
      </w:tblGrid>
      <w:tr>
        <w:trPr>
          <w:tblHeader/>
        </w:trPr>
        <w:tc>
          <w:tcPr>
            <w:tcW w:w="8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</w:t>
            </w:r>
            <w:r/>
          </w:p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п/п</w:t>
            </w:r>
            <w:r/>
          </w:p>
        </w:tc>
        <w:tc>
          <w:tcPr>
            <w:tcW w:w="55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Содержание задачи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Механизм реализации</w:t>
            </w:r>
            <w:r/>
          </w:p>
          <w:p>
            <w:pPr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(пошаговый)</w:t>
            </w:r>
            <w:r/>
          </w:p>
        </w:tc>
        <w:tc>
          <w:tcPr>
            <w:tcW w:w="2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Срок исполнения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*</w:t>
            </w:r>
            <w:r/>
          </w:p>
        </w:tc>
      </w:tr>
      <w:tr>
        <w:trPr>
          <w:trHeight w:val="996"/>
        </w:trPr>
        <w:tc>
          <w:tcPr>
            <w:tcW w:w="801" w:type="dxa"/>
            <w:vAlign w:val="center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1</w:t>
            </w:r>
            <w:r/>
          </w:p>
        </w:tc>
        <w:tc>
          <w:tcPr>
            <w:tcW w:w="5550" w:type="dxa"/>
            <w:vAlign w:val="center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Определение проблемы.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Разработка технического задания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Автоматизация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процессов поиска референтных цен, сбора и аналитической обработки данных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с использованием искусственного интеллекта</w:t>
            </w:r>
            <w:r/>
          </w:p>
        </w:tc>
        <w:tc>
          <w:tcPr>
            <w:tcW w:w="2984" w:type="dxa"/>
            <w:vAlign w:val="center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недел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и</w:t>
            </w:r>
            <w:r/>
          </w:p>
        </w:tc>
      </w:tr>
      <w:tr>
        <w:trPr>
          <w:trHeight w:val="1050"/>
        </w:trPr>
        <w:tc>
          <w:tcPr>
            <w:tcW w:w="801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2</w:t>
            </w:r>
            <w:r/>
          </w:p>
        </w:tc>
        <w:tc>
          <w:tcPr>
            <w:tcW w:w="5550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П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убликация извещения о проведении закупки в ЕИС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. Заключение государственного контракта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Публикация закупки на оказание у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слуг по созданию «Сервиса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предиктивной аналитики»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</w:t>
            </w:r>
            <w:r/>
          </w:p>
        </w:tc>
        <w:tc>
          <w:tcPr>
            <w:tcW w:w="2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1 месяц</w:t>
            </w:r>
            <w:r/>
          </w:p>
        </w:tc>
      </w:tr>
      <w:tr>
        <w:trPr>
          <w:trHeight w:val="660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Заключение государственного контракта</w:t>
            </w:r>
            <w:r/>
          </w:p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>
          <w:trHeight w:val="968"/>
        </w:trPr>
        <w:tc>
          <w:tcPr>
            <w:tcW w:w="801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3</w:t>
            </w:r>
            <w:r/>
          </w:p>
        </w:tc>
        <w:tc>
          <w:tcPr>
            <w:tcW w:w="5550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Р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азработка и внедрение «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Сервиса предиктивной аналитики»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Осуществ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ление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доступ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а к данным и инструментам информационной системы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через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web-интерефейс</w:t>
            </w:r>
            <w:r/>
          </w:p>
        </w:tc>
        <w:tc>
          <w:tcPr>
            <w:tcW w:w="2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2 месяца</w:t>
            </w:r>
            <w:r/>
          </w:p>
        </w:tc>
      </w:tr>
      <w:tr>
        <w:trPr>
          <w:trHeight w:val="1429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Автоматиз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ация типовых и рутинных операций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(создание проекта; импорт позиций для поиска референтных цен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; )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, внесение и сохранение ин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формации по ним в информационной системе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r>
            <w:r/>
          </w:p>
        </w:tc>
      </w:tr>
      <w:tr>
        <w:trPr>
          <w:trHeight w:val="1137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Обеспеч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ение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прозрачност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и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и достоверност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и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предоставленных отчетов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в информационной системе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r>
            <w:r/>
          </w:p>
        </w:tc>
      </w:tr>
      <w:tr>
        <w:trPr>
          <w:trHeight w:val="1137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Liberation Serif" w:hAnsi="Liberation Serif" w:cs="Liberation Serif" w:eastAsia="Batang"/>
                <w:sz w:val="28"/>
                <w:szCs w:val="28"/>
                <w:lang w:eastAsia="ko-KR"/>
              </w:rPr>
            </w:pP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Внедрение 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экспертн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ой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 систем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ы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 анализа накопленных 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Liberation Serif" w:hAnsi="Liberation Serif" w:cs="Liberation Serif" w:eastAsia="Batang"/>
                <w:sz w:val="28"/>
                <w:szCs w:val="28"/>
                <w:lang w:eastAsia="ko-KR"/>
              </w:rPr>
              <w:t xml:space="preserve">информационной системе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 данных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r>
            <w:r/>
          </w:p>
        </w:tc>
      </w:tr>
      <w:tr>
        <w:trPr>
          <w:trHeight w:val="949"/>
        </w:trPr>
        <w:tc>
          <w:tcPr>
            <w:tcW w:w="801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4</w:t>
            </w:r>
            <w:r/>
          </w:p>
        </w:tc>
        <w:tc>
          <w:tcPr>
            <w:tcW w:w="5550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Формирование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рабочей группы 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Формирование группы ответственных сотрудников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  </w:t>
            </w:r>
            <w:r/>
          </w:p>
        </w:tc>
        <w:tc>
          <w:tcPr>
            <w:tcW w:w="2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1 неделя</w:t>
            </w:r>
            <w:r/>
          </w:p>
        </w:tc>
      </w:tr>
      <w:tr>
        <w:trPr>
          <w:trHeight w:val="575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Создание специализированного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Telegram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канала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для взаимодействия с разработчиками информационного ресурса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r>
            <w:r/>
          </w:p>
        </w:tc>
      </w:tr>
      <w:tr>
        <w:trPr>
          <w:trHeight w:val="575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Определение тезисных моментов для реализации информационного ресурса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r>
            <w:r/>
          </w:p>
        </w:tc>
      </w:tr>
      <w:tr>
        <w:trPr>
          <w:trHeight w:val="315"/>
        </w:trPr>
        <w:tc>
          <w:tcPr>
            <w:tcW w:w="801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5</w:t>
            </w:r>
            <w:r/>
          </w:p>
        </w:tc>
        <w:tc>
          <w:tcPr>
            <w:tcW w:w="5550" w:type="dxa"/>
            <w:vAlign w:val="center"/>
            <w:vMerge w:val="restart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Т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естирование и доработка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окращение затрат времени на поиск референтных цен</w:t>
            </w:r>
            <w:r/>
          </w:p>
        </w:tc>
        <w:tc>
          <w:tcPr>
            <w:tcW w:w="2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highlight w:val="none"/>
                <w:lang w:eastAsia="ko-KR"/>
              </w:rPr>
              <w:t xml:space="preserve">3</w:t>
            </w:r>
            <w:r>
              <w:rPr>
                <w:rFonts w:ascii="PT Astra Serif" w:hAnsi="PT Astra Serif" w:cs="Tahoma" w:eastAsia="Batang"/>
                <w:sz w:val="28"/>
                <w:szCs w:val="28"/>
                <w:highlight w:val="none"/>
                <w:lang w:eastAsia="ko-KR"/>
              </w:rPr>
              <w:t xml:space="preserve"> месяц</w:t>
            </w:r>
            <w:r>
              <w:rPr>
                <w:rFonts w:ascii="PT Astra Serif" w:hAnsi="PT Astra Serif" w:cs="Tahoma" w:eastAsia="Batang"/>
                <w:sz w:val="28"/>
                <w:szCs w:val="28"/>
                <w:highlight w:val="none"/>
                <w:lang w:eastAsia="ko-KR"/>
              </w:rPr>
              <w:t xml:space="preserve">а</w:t>
            </w:r>
            <w:r/>
          </w:p>
        </w:tc>
      </w:tr>
      <w:tr>
        <w:trPr>
          <w:trHeight w:val="425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Liberation Serif" w:hAnsi="Liberation Serif" w:cs="Liberation Serif" w:eastAsia="Batang"/>
                <w:sz w:val="28"/>
                <w:szCs w:val="28"/>
                <w:lang w:eastAsia="ko-KR"/>
              </w:rPr>
            </w:pP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овышение качества процессов контроля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</w:tr>
      <w:tr>
        <w:trPr>
          <w:trHeight w:val="425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овышение скорости и прозрачности автоматизируемых процессов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</w:tr>
      <w:tr>
        <w:trPr>
          <w:trHeight w:val="425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  <w:t xml:space="preserve">остроение аналитики по всем параметрам процессов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</w:tr>
      <w:tr>
        <w:trPr>
          <w:trHeight w:val="425"/>
        </w:trPr>
        <w:tc>
          <w:tcPr>
            <w:tcW w:w="801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550" w:type="dxa"/>
            <w:vAlign w:val="center"/>
            <w:vMerge w:val="continue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Liberation Serif" w:hAnsi="Liberation Serif" w:cs="Liberation Serif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Внедрение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механизм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добавления источника ценового предложения в архив для дальнейшего получения информации по динамике цены на основании выбранного ресурса</w:t>
            </w:r>
            <w:r/>
          </w:p>
        </w:tc>
        <w:tc>
          <w:tcPr>
            <w:tcW w:w="2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</w:tr>
      <w:tr>
        <w:trPr>
          <w:trHeight w:val="399"/>
        </w:trPr>
        <w:tc>
          <w:tcPr>
            <w:tcW w:w="801" w:type="dxa"/>
            <w:vAlign w:val="center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6</w:t>
            </w:r>
            <w:r/>
          </w:p>
        </w:tc>
        <w:tc>
          <w:tcPr>
            <w:tcW w:w="5550" w:type="dxa"/>
            <w:vAlign w:val="center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Осуществление на постоянной основе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доступности «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Сервиса предиктивной аналитики»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Обеспечить на постоянной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основе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доступность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и актуальность </w:t>
            </w:r>
            <w:bookmarkStart w:id="0" w:name="_GoBack"/>
            <w:r/>
            <w:bookmarkEnd w:id="0"/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информации.</w:t>
            </w:r>
            <w:r/>
          </w:p>
        </w:tc>
        <w:tc>
          <w:tcPr>
            <w:tcW w:w="2984" w:type="dxa"/>
            <w:vAlign w:val="center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На посто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янной основе</w:t>
            </w:r>
            <w:r/>
          </w:p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r>
            <w:r/>
          </w:p>
        </w:tc>
      </w:tr>
      <w:tr>
        <w:trPr>
          <w:trHeight w:val="541"/>
        </w:trPr>
        <w:tc>
          <w:tcPr>
            <w:tcW w:w="801" w:type="dxa"/>
            <w:vAlign w:val="center"/>
            <w:textDirection w:val="lrTb"/>
            <w:noWrap w:val="false"/>
          </w:tcPr>
          <w:p>
            <w:pPr>
              <w:ind w:left="55"/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7</w:t>
            </w:r>
            <w:r/>
          </w:p>
        </w:tc>
        <w:tc>
          <w:tcPr>
            <w:tcW w:w="5550" w:type="dxa"/>
            <w:vAlign w:val="center"/>
            <w:textDirection w:val="lrTb"/>
            <w:noWrap w:val="false"/>
          </w:tcPr>
          <w:p>
            <w:pPr>
              <w:ind w:left="55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С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опровождение</w:t>
            </w:r>
            <w:r/>
          </w:p>
        </w:tc>
        <w:tc>
          <w:tcPr>
            <w:tcW w:w="5953" w:type="dxa"/>
            <w:vAlign w:val="center"/>
            <w:textDirection w:val="lrTb"/>
            <w:noWrap w:val="false"/>
          </w:tcPr>
          <w:p>
            <w:pPr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Подготовка, сбор и анализ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поступающих 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данных о корректировках на определенных участках</w:t>
            </w: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, обеспечение непрерывности работы сервиса.</w:t>
            </w:r>
            <w:r/>
          </w:p>
        </w:tc>
        <w:tc>
          <w:tcPr>
            <w:tcW w:w="2984" w:type="dxa"/>
            <w:vAlign w:val="center"/>
            <w:textDirection w:val="lrTb"/>
            <w:noWrap w:val="false"/>
          </w:tcPr>
          <w:p>
            <w:pPr>
              <w:jc w:val="center"/>
              <w:spacing w:line="214" w:lineRule="auto"/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</w:pPr>
            <w:r>
              <w:rPr>
                <w:rFonts w:ascii="PT Astra Serif" w:hAnsi="PT Astra Serif" w:cs="Tahoma" w:eastAsia="Batang"/>
                <w:sz w:val="28"/>
                <w:szCs w:val="28"/>
                <w:lang w:eastAsia="ko-KR"/>
              </w:rPr>
              <w:t xml:space="preserve">По истечению первого («пилотного») года</w:t>
            </w:r>
            <w:r/>
          </w:p>
        </w:tc>
      </w:tr>
    </w:tbl>
    <w:p>
      <w:pPr>
        <w:jc w:val="both"/>
        <w:spacing w:after="0" w:line="240" w:lineRule="auto"/>
        <w:rPr>
          <w:rFonts w:ascii="PT Astra Serif" w:hAnsi="PT Astra Serif" w:cs="Times New Roman" w:eastAsia="Calibri"/>
          <w:sz w:val="28"/>
          <w:szCs w:val="28"/>
        </w:rPr>
      </w:pPr>
      <w:r>
        <w:rPr>
          <w:rFonts w:ascii="PT Astra Serif" w:hAnsi="PT Astra Serif" w:cs="Times New Roman" w:eastAsia="Calibri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6838" w:h="11906" w:orient="landscape"/>
      <w:pgMar w:top="567" w:right="567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6030504020204"/>
  </w:font>
  <w:font w:name="Batang">
    <w:panose1 w:val="02000603000000000000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0910347"/>
      <w:docPartObj>
        <w:docPartGallery w:val="Page Numbers (Top of Page)"/>
        <w:docPartUnique w:val="true"/>
      </w:docPartObj>
      <w:rPr/>
    </w:sdtPr>
    <w:sdtContent>
      <w:p>
        <w:pPr>
          <w:pStyle w:val="88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/>
      </w:p>
    </w:sdtContent>
  </w:sdt>
  <w:p>
    <w:pPr>
      <w:pStyle w:val="8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1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1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80" w:hanging="360"/>
      </w:pPr>
      <w:rPr>
        <w:rFonts w:hint="default"/>
        <w:b w:val="0"/>
        <w:sz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b w:val="0"/>
        <w:sz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28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29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1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5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7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1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38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4"/>
  </w:num>
  <w:num w:numId="8">
    <w:abstractNumId w:val="13"/>
  </w:num>
  <w:num w:numId="9">
    <w:abstractNumId w:val="10"/>
  </w:num>
  <w:num w:numId="10">
    <w:abstractNumId w:val="22"/>
  </w:num>
  <w:num w:numId="11">
    <w:abstractNumId w:val="11"/>
  </w:num>
  <w:num w:numId="12">
    <w:abstractNumId w:val="0"/>
  </w:num>
  <w:num w:numId="13">
    <w:abstractNumId w:val="14"/>
  </w:num>
  <w:num w:numId="14">
    <w:abstractNumId w:val="7"/>
  </w:num>
  <w:num w:numId="15">
    <w:abstractNumId w:val="5"/>
  </w:num>
  <w:num w:numId="16">
    <w:abstractNumId w:val="19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20"/>
  </w:num>
  <w:num w:numId="22">
    <w:abstractNumId w:val="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77"/>
    <w:next w:val="877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705">
    <w:name w:val="Heading 1 Char"/>
    <w:basedOn w:val="878"/>
    <w:link w:val="704"/>
    <w:uiPriority w:val="9"/>
    <w:rPr>
      <w:rFonts w:ascii="Arial" w:hAnsi="Arial" w:cs="Arial" w:eastAsia="Arial"/>
      <w:sz w:val="40"/>
      <w:szCs w:val="40"/>
    </w:rPr>
  </w:style>
  <w:style w:type="paragraph" w:styleId="706">
    <w:name w:val="Heading 2"/>
    <w:basedOn w:val="877"/>
    <w:next w:val="877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707">
    <w:name w:val="Heading 2 Char"/>
    <w:basedOn w:val="878"/>
    <w:link w:val="706"/>
    <w:uiPriority w:val="9"/>
    <w:rPr>
      <w:rFonts w:ascii="Arial" w:hAnsi="Arial" w:cs="Arial" w:eastAsia="Arial"/>
      <w:sz w:val="34"/>
    </w:rPr>
  </w:style>
  <w:style w:type="paragraph" w:styleId="708">
    <w:name w:val="Heading 3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09">
    <w:name w:val="Heading 3 Char"/>
    <w:basedOn w:val="878"/>
    <w:link w:val="708"/>
    <w:uiPriority w:val="9"/>
    <w:rPr>
      <w:rFonts w:ascii="Arial" w:hAnsi="Arial" w:cs="Arial" w:eastAsia="Arial"/>
      <w:sz w:val="30"/>
      <w:szCs w:val="30"/>
    </w:rPr>
  </w:style>
  <w:style w:type="paragraph" w:styleId="710">
    <w:name w:val="Heading 4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11">
    <w:name w:val="Heading 4 Char"/>
    <w:basedOn w:val="878"/>
    <w:link w:val="710"/>
    <w:uiPriority w:val="9"/>
    <w:rPr>
      <w:rFonts w:ascii="Arial" w:hAnsi="Arial" w:cs="Arial" w:eastAsia="Arial"/>
      <w:b/>
      <w:bCs/>
      <w:sz w:val="26"/>
      <w:szCs w:val="26"/>
    </w:rPr>
  </w:style>
  <w:style w:type="paragraph" w:styleId="712">
    <w:name w:val="Heading 5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13">
    <w:name w:val="Heading 5 Char"/>
    <w:basedOn w:val="878"/>
    <w:link w:val="712"/>
    <w:uiPriority w:val="9"/>
    <w:rPr>
      <w:rFonts w:ascii="Arial" w:hAnsi="Arial" w:cs="Arial" w:eastAsia="Arial"/>
      <w:b/>
      <w:bCs/>
      <w:sz w:val="24"/>
      <w:szCs w:val="24"/>
    </w:rPr>
  </w:style>
  <w:style w:type="paragraph" w:styleId="714">
    <w:name w:val="Heading 6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15">
    <w:name w:val="Heading 6 Char"/>
    <w:basedOn w:val="878"/>
    <w:link w:val="714"/>
    <w:uiPriority w:val="9"/>
    <w:rPr>
      <w:rFonts w:ascii="Arial" w:hAnsi="Arial" w:cs="Arial" w:eastAsia="Arial"/>
      <w:b/>
      <w:bCs/>
      <w:sz w:val="22"/>
      <w:szCs w:val="22"/>
    </w:rPr>
  </w:style>
  <w:style w:type="paragraph" w:styleId="716">
    <w:name w:val="Heading 7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17">
    <w:name w:val="Heading 7 Char"/>
    <w:basedOn w:val="878"/>
    <w:link w:val="7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8">
    <w:name w:val="Heading 8"/>
    <w:basedOn w:val="877"/>
    <w:next w:val="877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19">
    <w:name w:val="Heading 8 Char"/>
    <w:basedOn w:val="878"/>
    <w:link w:val="718"/>
    <w:uiPriority w:val="9"/>
    <w:rPr>
      <w:rFonts w:ascii="Arial" w:hAnsi="Arial" w:cs="Arial" w:eastAsia="Arial"/>
      <w:i/>
      <w:iCs/>
      <w:sz w:val="22"/>
      <w:szCs w:val="22"/>
    </w:rPr>
  </w:style>
  <w:style w:type="paragraph" w:styleId="720">
    <w:name w:val="Heading 9"/>
    <w:basedOn w:val="877"/>
    <w:next w:val="877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21">
    <w:name w:val="Heading 9 Char"/>
    <w:basedOn w:val="878"/>
    <w:link w:val="720"/>
    <w:uiPriority w:val="9"/>
    <w:rPr>
      <w:rFonts w:ascii="Arial" w:hAnsi="Arial" w:cs="Arial" w:eastAsia="Arial"/>
      <w:i/>
      <w:iCs/>
      <w:sz w:val="21"/>
      <w:szCs w:val="21"/>
    </w:rPr>
  </w:style>
  <w:style w:type="paragraph" w:styleId="722">
    <w:name w:val="Title"/>
    <w:basedOn w:val="877"/>
    <w:next w:val="877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78"/>
    <w:link w:val="722"/>
    <w:uiPriority w:val="10"/>
    <w:rPr>
      <w:sz w:val="48"/>
      <w:szCs w:val="48"/>
    </w:rPr>
  </w:style>
  <w:style w:type="paragraph" w:styleId="724">
    <w:name w:val="Subtitle"/>
    <w:basedOn w:val="877"/>
    <w:next w:val="877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78"/>
    <w:link w:val="724"/>
    <w:uiPriority w:val="11"/>
    <w:rPr>
      <w:sz w:val="24"/>
      <w:szCs w:val="24"/>
    </w:rPr>
  </w:style>
  <w:style w:type="paragraph" w:styleId="726">
    <w:name w:val="Quote"/>
    <w:basedOn w:val="877"/>
    <w:next w:val="877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7"/>
    <w:next w:val="877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78"/>
    <w:link w:val="883"/>
    <w:uiPriority w:val="99"/>
  </w:style>
  <w:style w:type="character" w:styleId="731">
    <w:name w:val="Footer Char"/>
    <w:basedOn w:val="878"/>
    <w:link w:val="885"/>
    <w:uiPriority w:val="99"/>
  </w:style>
  <w:style w:type="paragraph" w:styleId="732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5"/>
    <w:uiPriority w:val="99"/>
  </w:style>
  <w:style w:type="table" w:styleId="734">
    <w:name w:val="Table Grid Light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3">
    <w:name w:val="List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7">
    <w:name w:val="List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0">
    <w:name w:val="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4">
    <w:name w:val="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7">
    <w:name w:val="Bordered &amp; 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1">
    <w:name w:val="Bordered &amp; 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78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78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character" w:styleId="878" w:default="1">
    <w:name w:val="Default Paragraph Font"/>
    <w:uiPriority w:val="1"/>
    <w:semiHidden/>
    <w:unhideWhenUsed/>
  </w:style>
  <w:style w:type="table" w:styleId="8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0" w:default="1">
    <w:name w:val="No List"/>
    <w:uiPriority w:val="99"/>
    <w:semiHidden/>
    <w:unhideWhenUsed/>
  </w:style>
  <w:style w:type="table" w:styleId="881">
    <w:name w:val="Table Grid"/>
    <w:basedOn w:val="87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2">
    <w:name w:val="List Paragraph"/>
    <w:basedOn w:val="877"/>
    <w:uiPriority w:val="34"/>
    <w:qFormat/>
    <w:pPr>
      <w:contextualSpacing/>
      <w:ind w:left="720"/>
    </w:pPr>
  </w:style>
  <w:style w:type="paragraph" w:styleId="883">
    <w:name w:val="Header"/>
    <w:basedOn w:val="877"/>
    <w:link w:val="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4" w:customStyle="1">
    <w:name w:val="Верхний колонтитул Знак"/>
    <w:basedOn w:val="878"/>
    <w:link w:val="883"/>
    <w:uiPriority w:val="99"/>
  </w:style>
  <w:style w:type="paragraph" w:styleId="885">
    <w:name w:val="Footer"/>
    <w:basedOn w:val="877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Нижний колонтитул Знак"/>
    <w:basedOn w:val="878"/>
    <w:link w:val="885"/>
    <w:uiPriority w:val="99"/>
  </w:style>
  <w:style w:type="paragraph" w:styleId="887">
    <w:name w:val="Normal (Web)"/>
    <w:basedOn w:val="877"/>
    <w:uiPriority w:val="34"/>
    <w:unhideWhenUsed/>
    <w:qFormat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888">
    <w:name w:val="No Spacing"/>
    <w:uiPriority w:val="1"/>
    <w:qFormat/>
    <w:pPr>
      <w:spacing w:after="0" w:line="240" w:lineRule="auto"/>
    </w:pPr>
    <w:rPr>
      <w:rFonts w:ascii="Calibri" w:hAnsi="Calibri" w:cs="Times New Roman" w:eastAsia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F4BE4424-CA68-4E04-BAFF-6C2D2F7B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Тирацуян Устиния Нагабедовна</dc:creator>
  <cp:revision>28</cp:revision>
  <dcterms:created xsi:type="dcterms:W3CDTF">2021-08-04T13:50:00Z</dcterms:created>
  <dcterms:modified xsi:type="dcterms:W3CDTF">2022-06-23T11:13:18Z</dcterms:modified>
</cp:coreProperties>
</file>